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numPr>
          <w:numId w:val="0"/>
        </w:numPr>
        <w:ind w:leftChars="0"/>
        <w:rPr>
          <w:rFonts w:hint="eastAsia" w:ascii="微软雅黑" w:hAnsi="微软雅黑" w:eastAsia="微软雅黑" w:cs="宋体"/>
          <w:b/>
          <w:bCs/>
          <w:sz w:val="32"/>
          <w:szCs w:val="32"/>
          <w:lang w:val="en-US" w:eastAsia="zh-CN"/>
        </w:rPr>
      </w:pPr>
      <w:r>
        <w:rPr>
          <w:rFonts w:hint="eastAsia" w:ascii="微软雅黑" w:hAnsi="微软雅黑" w:eastAsia="微软雅黑" w:cs="宋体"/>
          <w:b/>
          <w:bCs/>
          <w:sz w:val="32"/>
          <w:szCs w:val="32"/>
          <w:lang w:eastAsia="zh-CN"/>
        </w:rPr>
        <w:t>附件</w:t>
      </w:r>
      <w:r>
        <w:rPr>
          <w:rFonts w:hint="eastAsia" w:ascii="微软雅黑" w:hAnsi="微软雅黑" w:eastAsia="微软雅黑" w:cs="宋体"/>
          <w:b/>
          <w:bCs/>
          <w:sz w:val="32"/>
          <w:szCs w:val="32"/>
          <w:lang w:val="en-US" w:eastAsia="zh-CN"/>
        </w:rPr>
        <w:t>1</w:t>
      </w:r>
    </w:p>
    <w:p>
      <w:pPr>
        <w:pStyle w:val="15"/>
        <w:numPr>
          <w:numId w:val="0"/>
        </w:numPr>
        <w:ind w:leftChars="0"/>
        <w:rPr>
          <w:rFonts w:hint="default" w:ascii="微软雅黑" w:hAnsi="微软雅黑" w:eastAsia="微软雅黑" w:cs="宋体"/>
          <w:b/>
          <w:bCs/>
          <w:sz w:val="32"/>
          <w:szCs w:val="32"/>
          <w:lang w:val="en-US" w:eastAsia="zh-CN"/>
        </w:rPr>
      </w:pPr>
    </w:p>
    <w:p>
      <w:pPr>
        <w:pStyle w:val="15"/>
        <w:keepNext w:val="0"/>
        <w:keepLines w:val="0"/>
        <w:pageBreakBefore w:val="0"/>
        <w:numPr>
          <w:ilvl w:val="0"/>
          <w:numId w:val="1"/>
        </w:numPr>
        <w:kinsoku/>
        <w:wordWrap/>
        <w:overflowPunct/>
        <w:topLinePunct w:val="0"/>
        <w:autoSpaceDE/>
        <w:autoSpaceDN/>
        <w:bidi w:val="0"/>
        <w:adjustRightInd/>
        <w:snapToGrid/>
        <w:spacing w:line="520" w:lineRule="exact"/>
        <w:ind w:firstLineChars="0"/>
        <w:textAlignment w:val="auto"/>
        <w:rPr>
          <w:rFonts w:ascii="微软雅黑" w:hAnsi="微软雅黑" w:eastAsia="微软雅黑" w:cs="宋体"/>
          <w:b/>
          <w:bCs/>
          <w:sz w:val="32"/>
          <w:szCs w:val="32"/>
        </w:rPr>
      </w:pPr>
      <w:r>
        <w:rPr>
          <w:rFonts w:hint="eastAsia" w:ascii="微软雅黑" w:hAnsi="微软雅黑" w:eastAsia="微软雅黑" w:cs="宋体"/>
          <w:b/>
          <w:bCs/>
          <w:sz w:val="32"/>
          <w:szCs w:val="32"/>
        </w:rPr>
        <w:t>采购需求清单</w:t>
      </w:r>
    </w:p>
    <w:tbl>
      <w:tblPr>
        <w:tblStyle w:val="8"/>
        <w:tblW w:w="8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7"/>
        <w:gridCol w:w="5953"/>
        <w:gridCol w:w="1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47"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序号</w:t>
            </w:r>
          </w:p>
        </w:tc>
        <w:tc>
          <w:tcPr>
            <w:tcW w:w="5953"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产品名称</w:t>
            </w:r>
          </w:p>
        </w:tc>
        <w:tc>
          <w:tcPr>
            <w:tcW w:w="1506"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47"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hint="eastAsia" w:ascii="微软雅黑" w:hAnsi="微软雅黑" w:eastAsia="微软雅黑" w:cs="宋体"/>
                <w:sz w:val="28"/>
                <w:szCs w:val="28"/>
              </w:rPr>
              <w:t>1</w:t>
            </w:r>
          </w:p>
        </w:tc>
        <w:tc>
          <w:tcPr>
            <w:tcW w:w="5953"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hint="eastAsia" w:ascii="微软雅黑" w:hAnsi="微软雅黑" w:eastAsia="微软雅黑" w:cs="宋体"/>
                <w:sz w:val="28"/>
                <w:szCs w:val="28"/>
              </w:rPr>
              <w:t>高性能服务器</w:t>
            </w:r>
          </w:p>
        </w:tc>
        <w:tc>
          <w:tcPr>
            <w:tcW w:w="1506"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hint="eastAsia" w:ascii="微软雅黑" w:hAnsi="微软雅黑" w:eastAsia="微软雅黑" w:cs="宋体"/>
                <w:sz w:val="28"/>
                <w:szCs w:val="28"/>
              </w:rPr>
              <w:t>5台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47"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hint="eastAsia" w:ascii="微软雅黑" w:hAnsi="微软雅黑" w:eastAsia="微软雅黑" w:cs="宋体"/>
                <w:sz w:val="28"/>
                <w:szCs w:val="28"/>
              </w:rPr>
              <w:t>2</w:t>
            </w:r>
          </w:p>
        </w:tc>
        <w:tc>
          <w:tcPr>
            <w:tcW w:w="5953"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ascii="微软雅黑" w:hAnsi="微软雅黑" w:eastAsia="微软雅黑" w:cs="宋体"/>
                <w:sz w:val="28"/>
                <w:szCs w:val="28"/>
              </w:rPr>
              <w:t>Oracle</w:t>
            </w:r>
            <w:r>
              <w:rPr>
                <w:rFonts w:hint="eastAsia" w:ascii="微软雅黑" w:hAnsi="微软雅黑" w:eastAsia="微软雅黑" w:cs="宋体"/>
                <w:sz w:val="28"/>
                <w:szCs w:val="28"/>
              </w:rPr>
              <w:t>数据库升级集成服务</w:t>
            </w:r>
          </w:p>
        </w:tc>
        <w:tc>
          <w:tcPr>
            <w:tcW w:w="1506"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hint="eastAsia" w:ascii="微软雅黑" w:hAnsi="微软雅黑" w:eastAsia="微软雅黑"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447"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hint="eastAsia" w:ascii="微软雅黑" w:hAnsi="微软雅黑" w:eastAsia="微软雅黑" w:cs="宋体"/>
                <w:sz w:val="28"/>
                <w:szCs w:val="28"/>
              </w:rPr>
              <w:t>3</w:t>
            </w:r>
          </w:p>
        </w:tc>
        <w:tc>
          <w:tcPr>
            <w:tcW w:w="5953"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ascii="微软雅黑" w:hAnsi="微软雅黑" w:eastAsia="微软雅黑" w:cs="宋体"/>
                <w:sz w:val="28"/>
                <w:szCs w:val="28"/>
              </w:rPr>
              <w:t xml:space="preserve">Oracle </w:t>
            </w:r>
            <w:r>
              <w:rPr>
                <w:rFonts w:hint="eastAsia" w:ascii="微软雅黑" w:hAnsi="微软雅黑" w:eastAsia="微软雅黑" w:cs="宋体"/>
                <w:sz w:val="28"/>
                <w:szCs w:val="28"/>
              </w:rPr>
              <w:t>许可</w:t>
            </w:r>
          </w:p>
        </w:tc>
        <w:tc>
          <w:tcPr>
            <w:tcW w:w="1506" w:type="dxa"/>
          </w:tcPr>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宋体"/>
                <w:sz w:val="28"/>
                <w:szCs w:val="28"/>
              </w:rPr>
            </w:pPr>
            <w:r>
              <w:rPr>
                <w:rFonts w:hint="eastAsia" w:ascii="微软雅黑" w:hAnsi="微软雅黑" w:eastAsia="微软雅黑" w:cs="宋体"/>
                <w:sz w:val="28"/>
                <w:szCs w:val="28"/>
              </w:rPr>
              <w:t>/</w:t>
            </w:r>
          </w:p>
        </w:tc>
      </w:tr>
    </w:tbl>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
          <w:bCs/>
          <w:sz w:val="28"/>
          <w:szCs w:val="28"/>
        </w:rPr>
      </w:pPr>
    </w:p>
    <w:p>
      <w:pPr>
        <w:pStyle w:val="15"/>
        <w:keepNext w:val="0"/>
        <w:keepLines w:val="0"/>
        <w:pageBreakBefore w:val="0"/>
        <w:numPr>
          <w:ilvl w:val="0"/>
          <w:numId w:val="1"/>
        </w:numPr>
        <w:kinsoku/>
        <w:wordWrap/>
        <w:overflowPunct/>
        <w:topLinePunct w:val="0"/>
        <w:autoSpaceDE/>
        <w:autoSpaceDN/>
        <w:bidi w:val="0"/>
        <w:adjustRightInd/>
        <w:snapToGrid/>
        <w:spacing w:line="520" w:lineRule="exact"/>
        <w:ind w:firstLineChars="0"/>
        <w:textAlignment w:val="auto"/>
        <w:rPr>
          <w:rFonts w:ascii="微软雅黑" w:hAnsi="微软雅黑" w:eastAsia="微软雅黑" w:cs="宋体"/>
          <w:b/>
          <w:bCs/>
          <w:sz w:val="32"/>
          <w:szCs w:val="32"/>
        </w:rPr>
      </w:pPr>
      <w:r>
        <w:rPr>
          <w:rFonts w:hint="eastAsia" w:ascii="微软雅黑" w:hAnsi="微软雅黑" w:eastAsia="微软雅黑" w:cs="宋体"/>
          <w:b/>
          <w:bCs/>
          <w:sz w:val="32"/>
          <w:szCs w:val="32"/>
        </w:rPr>
        <w:t>服务器参数要求</w:t>
      </w:r>
    </w:p>
    <w:tbl>
      <w:tblPr>
        <w:tblStyle w:val="8"/>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5"/>
        <w:gridCol w:w="1430"/>
        <w:gridCol w:w="489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 w:type="dxa"/>
          </w:tcPr>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序号</w:t>
            </w:r>
          </w:p>
        </w:tc>
        <w:tc>
          <w:tcPr>
            <w:tcW w:w="1430" w:type="dxa"/>
          </w:tcPr>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产品</w:t>
            </w:r>
          </w:p>
        </w:tc>
        <w:tc>
          <w:tcPr>
            <w:tcW w:w="4890" w:type="dxa"/>
          </w:tcPr>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参数要求</w:t>
            </w:r>
          </w:p>
        </w:tc>
        <w:tc>
          <w:tcPr>
            <w:tcW w:w="1701" w:type="dxa"/>
          </w:tcPr>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 w:type="dxa"/>
          </w:tcPr>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1</w:t>
            </w:r>
          </w:p>
        </w:tc>
        <w:tc>
          <w:tcPr>
            <w:tcW w:w="1430" w:type="dxa"/>
          </w:tcPr>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高性能服务器</w:t>
            </w:r>
          </w:p>
        </w:tc>
        <w:tc>
          <w:tcPr>
            <w:tcW w:w="4890" w:type="dxa"/>
          </w:tcPr>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 xml:space="preserve">CPU≥ </w:t>
            </w:r>
            <w:r>
              <w:rPr>
                <w:rFonts w:ascii="微软雅黑" w:hAnsi="微软雅黑" w:eastAsia="微软雅黑" w:cs="宋体"/>
                <w:sz w:val="28"/>
                <w:szCs w:val="28"/>
              </w:rPr>
              <w:t>4</w:t>
            </w:r>
            <w:r>
              <w:rPr>
                <w:rFonts w:hint="eastAsia" w:ascii="微软雅黑" w:hAnsi="微软雅黑" w:eastAsia="微软雅黑" w:cs="宋体"/>
                <w:sz w:val="28"/>
                <w:szCs w:val="28"/>
              </w:rPr>
              <w:t>颗 英特尔® 至强® 铂金 8280 处理器（38.5M 高速缓存，2.70 GHz）</w:t>
            </w:r>
          </w:p>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内存 ≥ 1024GB</w:t>
            </w:r>
          </w:p>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硬盘 ≥ 3*960GB SSD</w:t>
            </w:r>
          </w:p>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网卡 ≥ 2*独立万兆光纤网卡（双口，带模块）</w:t>
            </w:r>
          </w:p>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HBA卡 ≥ 2*独立32Gb 光纤通道卡（带模块）</w:t>
            </w:r>
          </w:p>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原厂三年7*</w:t>
            </w:r>
            <w:r>
              <w:rPr>
                <w:rFonts w:ascii="微软雅黑" w:hAnsi="微软雅黑" w:eastAsia="微软雅黑" w:cs="宋体"/>
                <w:sz w:val="28"/>
                <w:szCs w:val="28"/>
              </w:rPr>
              <w:t>24</w:t>
            </w:r>
            <w:r>
              <w:rPr>
                <w:rFonts w:hint="eastAsia" w:ascii="微软雅黑" w:hAnsi="微软雅黑" w:eastAsia="微软雅黑" w:cs="宋体"/>
                <w:sz w:val="28"/>
                <w:szCs w:val="28"/>
              </w:rPr>
              <w:t>维保服务</w:t>
            </w:r>
          </w:p>
        </w:tc>
        <w:tc>
          <w:tcPr>
            <w:tcW w:w="1701" w:type="dxa"/>
          </w:tcPr>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5</w:t>
            </w:r>
          </w:p>
        </w:tc>
      </w:tr>
    </w:tbl>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
          <w:bCs/>
          <w:sz w:val="28"/>
          <w:szCs w:val="28"/>
        </w:rPr>
      </w:pPr>
    </w:p>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
          <w:bCs/>
          <w:sz w:val="28"/>
          <w:szCs w:val="28"/>
        </w:rPr>
      </w:pPr>
    </w:p>
    <w:p>
      <w:pPr>
        <w:pStyle w:val="15"/>
        <w:keepNext w:val="0"/>
        <w:keepLines w:val="0"/>
        <w:pageBreakBefore w:val="0"/>
        <w:numPr>
          <w:ilvl w:val="0"/>
          <w:numId w:val="1"/>
        </w:numPr>
        <w:kinsoku/>
        <w:wordWrap/>
        <w:overflowPunct/>
        <w:topLinePunct w:val="0"/>
        <w:autoSpaceDE/>
        <w:autoSpaceDN/>
        <w:bidi w:val="0"/>
        <w:adjustRightInd/>
        <w:snapToGrid/>
        <w:spacing w:line="520" w:lineRule="exact"/>
        <w:ind w:firstLineChars="0"/>
        <w:textAlignment w:val="auto"/>
        <w:rPr>
          <w:rFonts w:ascii="微软雅黑" w:hAnsi="微软雅黑" w:eastAsia="微软雅黑" w:cs="宋体"/>
          <w:b/>
          <w:bCs/>
          <w:sz w:val="32"/>
          <w:szCs w:val="32"/>
        </w:rPr>
      </w:pPr>
      <w:r>
        <w:rPr>
          <w:rFonts w:hint="eastAsia" w:ascii="微软雅黑" w:hAnsi="微软雅黑" w:eastAsia="微软雅黑" w:cs="宋体"/>
          <w:b/>
          <w:bCs/>
          <w:sz w:val="32"/>
          <w:szCs w:val="32"/>
        </w:rPr>
        <w:t>Oracle数据库升级集成服务要求：</w:t>
      </w:r>
    </w:p>
    <w:p>
      <w:pPr>
        <w:pStyle w:val="15"/>
        <w:keepNext w:val="0"/>
        <w:keepLines w:val="0"/>
        <w:pageBreakBefore w:val="0"/>
        <w:numPr>
          <w:ilvl w:val="0"/>
          <w:numId w:val="2"/>
        </w:numPr>
        <w:kinsoku/>
        <w:wordWrap/>
        <w:overflowPunct/>
        <w:topLinePunct w:val="0"/>
        <w:autoSpaceDE/>
        <w:autoSpaceDN/>
        <w:bidi w:val="0"/>
        <w:adjustRightInd/>
        <w:snapToGrid/>
        <w:spacing w:line="520" w:lineRule="exact"/>
        <w:ind w:firstLineChars="0"/>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人员要求</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sz w:val="28"/>
          <w:szCs w:val="28"/>
        </w:rPr>
      </w:pPr>
      <w:r>
        <w:rPr>
          <w:rFonts w:ascii="微软雅黑" w:hAnsi="微软雅黑" w:eastAsia="微软雅黑" w:cs="宋体"/>
          <w:sz w:val="28"/>
          <w:szCs w:val="28"/>
        </w:rPr>
        <w:t>1</w:t>
      </w:r>
      <w:r>
        <w:rPr>
          <w:rFonts w:hint="eastAsia" w:ascii="微软雅黑" w:hAnsi="微软雅黑" w:eastAsia="微软雅黑" w:cs="宋体"/>
          <w:sz w:val="28"/>
          <w:szCs w:val="28"/>
        </w:rPr>
        <w:t>.供应商应提供1名项目负责人及至少</w:t>
      </w:r>
      <w:r>
        <w:rPr>
          <w:rFonts w:ascii="微软雅黑" w:hAnsi="微软雅黑" w:eastAsia="微软雅黑" w:cs="宋体"/>
          <w:sz w:val="28"/>
          <w:szCs w:val="28"/>
        </w:rPr>
        <w:t>5</w:t>
      </w:r>
      <w:r>
        <w:rPr>
          <w:rFonts w:hint="eastAsia" w:ascii="微软雅黑" w:hAnsi="微软雅黑" w:eastAsia="微软雅黑" w:cs="宋体"/>
          <w:sz w:val="28"/>
          <w:szCs w:val="28"/>
        </w:rPr>
        <w:t>名项目团队成员组成服务团队，全程负责采购人服务项目，保证实施期间，团队中至少有</w:t>
      </w:r>
      <w:r>
        <w:rPr>
          <w:rFonts w:ascii="微软雅黑" w:hAnsi="微软雅黑" w:eastAsia="微软雅黑" w:cs="宋体"/>
          <w:sz w:val="28"/>
          <w:szCs w:val="28"/>
        </w:rPr>
        <w:t>2</w:t>
      </w:r>
      <w:r>
        <w:rPr>
          <w:rFonts w:hint="eastAsia" w:ascii="微软雅黑" w:hAnsi="微软雅黑" w:eastAsia="微软雅黑" w:cs="宋体"/>
          <w:sz w:val="28"/>
          <w:szCs w:val="28"/>
        </w:rPr>
        <w:t>人可随时按采购人要求及时处理现场问题（在30分钟内响应并在2小时到达采购人指定的现场）。</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（1）项目负责人 （1人）</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 xml:space="preserve">供应商为采购人提供一位专职的项目负责人，提供采购人指定时间（含5*8小时的日常正常工作时间和部分非工作时间）的现场服务；负责统筹整个项目的实施。其职责如下： </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 xml:space="preserve">1.1）制订服务实施方案和工作计划。 </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1.2）跟进实施计划的实施情况，统筹分析、评估、准备、执行、收尾工作 。</w:t>
      </w:r>
    </w:p>
    <w:p>
      <w:pPr>
        <w:keepNext w:val="0"/>
        <w:keepLines w:val="0"/>
        <w:pageBreakBefore w:val="0"/>
        <w:kinsoku/>
        <w:wordWrap/>
        <w:overflowPunct/>
        <w:topLinePunct w:val="0"/>
        <w:autoSpaceDE/>
        <w:autoSpaceDN/>
        <w:bidi w:val="0"/>
        <w:adjustRightInd/>
        <w:snapToGrid/>
        <w:spacing w:line="520" w:lineRule="exact"/>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 xml:space="preserve">    1.3）统筹协调资源，协调项目资源，对采购人实施各项服务，以及协调解决项目中遇到的问题解决。 </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 xml:space="preserve">1.4）重大故障管理，出现紧急情况时，项目负责人将在及时协助协调内部资源、通知管理团队，及时告之采购人进展情况及下一步行动计划。 </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（2）</w:t>
      </w:r>
      <w:r>
        <w:rPr>
          <w:rFonts w:hint="eastAsia" w:ascii="微软雅黑" w:hAnsi="微软雅黑" w:eastAsia="微软雅黑" w:cs="宋体"/>
          <w:sz w:val="28"/>
          <w:szCs w:val="28"/>
        </w:rPr>
        <w:t>项目团队成员</w:t>
      </w:r>
      <w:r>
        <w:rPr>
          <w:rFonts w:hint="eastAsia" w:ascii="微软雅黑" w:hAnsi="微软雅黑" w:eastAsia="微软雅黑" w:cs="宋体"/>
          <w:color w:val="000000"/>
          <w:sz w:val="28"/>
          <w:szCs w:val="28"/>
        </w:rPr>
        <w:t>（</w:t>
      </w:r>
      <w:r>
        <w:rPr>
          <w:rFonts w:ascii="微软雅黑" w:hAnsi="微软雅黑" w:eastAsia="微软雅黑" w:cs="宋体"/>
          <w:color w:val="000000"/>
          <w:sz w:val="28"/>
          <w:szCs w:val="28"/>
        </w:rPr>
        <w:t>5</w:t>
      </w:r>
      <w:r>
        <w:rPr>
          <w:rFonts w:hint="eastAsia" w:ascii="微软雅黑" w:hAnsi="微软雅黑" w:eastAsia="微软雅黑" w:cs="宋体"/>
          <w:color w:val="000000"/>
          <w:sz w:val="28"/>
          <w:szCs w:val="28"/>
        </w:rPr>
        <w:t>人）</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为满足采购人的服务质量需求，特别是提高对各种紧急故障的响应速度和级别，供应商提供专职技术工程师团队，实施各种主动式服务或电话和现场紧急救援，具体工作内容包括但不限于：</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2.1）数据库安装与配置；主要指定制数据库安装配置方案，检查软件安装环境，安装数据库软件，完成数据库配置，并完成测试。</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2.2）数据库性能优化；主要是指核心参数调优，SQL语句调优，性能评估方案的提供。</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2.3）数据库备份与恢复；主要是指本地、异地、同步、实时的分级备份与恢复方案及实施。</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2.4）数据迁移：不同版本、不同厂商、不同结构数据库间的数据迁移。</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color w:val="000000"/>
          <w:sz w:val="28"/>
          <w:szCs w:val="28"/>
        </w:rPr>
      </w:pPr>
      <w:r>
        <w:rPr>
          <w:rFonts w:hint="eastAsia" w:ascii="微软雅黑" w:hAnsi="微软雅黑" w:eastAsia="微软雅黑" w:cs="宋体"/>
          <w:color w:val="000000"/>
          <w:sz w:val="28"/>
          <w:szCs w:val="28"/>
        </w:rPr>
        <w:t>2.5）故障排除；通过远程、上门等方式按服务级别实施故障排除。</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微软雅黑" w:hAnsi="微软雅黑" w:eastAsia="微软雅黑" w:cs="宋体"/>
          <w:sz w:val="28"/>
          <w:szCs w:val="28"/>
        </w:rPr>
      </w:pPr>
      <w:r>
        <w:rPr>
          <w:rFonts w:hint="eastAsia" w:ascii="微软雅黑" w:hAnsi="微软雅黑" w:eastAsia="微软雅黑" w:cs="宋体"/>
          <w:color w:val="000000"/>
          <w:sz w:val="28"/>
          <w:szCs w:val="28"/>
        </w:rPr>
        <w:t>2.6）预防性巡检；定期提供预防性巡检，并完成系统参数、配置调优，及补丁分发、安装服务。</w:t>
      </w:r>
    </w:p>
    <w:p>
      <w:pPr>
        <w:pStyle w:val="15"/>
        <w:keepNext w:val="0"/>
        <w:keepLines w:val="0"/>
        <w:pageBreakBefore w:val="0"/>
        <w:numPr>
          <w:ilvl w:val="0"/>
          <w:numId w:val="2"/>
        </w:numPr>
        <w:kinsoku/>
        <w:wordWrap/>
        <w:overflowPunct/>
        <w:topLinePunct w:val="0"/>
        <w:autoSpaceDE/>
        <w:autoSpaceDN/>
        <w:bidi w:val="0"/>
        <w:adjustRightInd/>
        <w:snapToGrid/>
        <w:spacing w:line="520" w:lineRule="exact"/>
        <w:ind w:firstLineChars="0"/>
        <w:textAlignment w:val="auto"/>
        <w:rPr>
          <w:rFonts w:ascii="微软雅黑" w:hAnsi="微软雅黑" w:eastAsia="微软雅黑" w:cs="宋体"/>
          <w:b/>
          <w:bCs/>
          <w:sz w:val="28"/>
          <w:szCs w:val="28"/>
        </w:rPr>
      </w:pPr>
      <w:r>
        <w:rPr>
          <w:rFonts w:hint="eastAsia" w:ascii="微软雅黑" w:hAnsi="微软雅黑" w:eastAsia="微软雅黑" w:cs="宋体"/>
          <w:b/>
          <w:bCs/>
          <w:sz w:val="28"/>
          <w:szCs w:val="28"/>
        </w:rPr>
        <w:t>集成服务要求</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（1）数据库安装部署</w:t>
      </w:r>
    </w:p>
    <w:p>
      <w:pPr>
        <w:pStyle w:val="2"/>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核心系统数据库架构设计、测试及实施，制定Oracle数据库集群安装和配置方案，提供规范版本、补丁评估、参数检算建议，实施RAC高可用数据库部署。</w:t>
      </w:r>
    </w:p>
    <w:p>
      <w:pPr>
        <w:pStyle w:val="2"/>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sz w:val="28"/>
          <w:szCs w:val="28"/>
        </w:rPr>
      </w:pPr>
      <w:r>
        <w:rPr>
          <w:rFonts w:hint="eastAsia" w:ascii="微软雅黑" w:hAnsi="微软雅黑" w:eastAsia="微软雅黑" w:cs="宋体"/>
          <w:sz w:val="28"/>
          <w:szCs w:val="28"/>
        </w:rPr>
        <w:t>数据库容灾规划，根据核心系统容灾要求实施总体容灾方案设计及实施服务。编制数据库应急灾备预案及切换手册，根据应急预案至少提供两个切换演练服务。</w:t>
      </w:r>
    </w:p>
    <w:p>
      <w:pPr>
        <w:pStyle w:val="2"/>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数据库安装服务包括但不限于：</w:t>
      </w:r>
    </w:p>
    <w:p>
      <w:pPr>
        <w:pStyle w:val="2"/>
        <w:keepNext w:val="0"/>
        <w:keepLines w:val="0"/>
        <w:pageBreakBefore w:val="0"/>
        <w:kinsoku/>
        <w:wordWrap/>
        <w:overflowPunct/>
        <w:topLinePunct w:val="0"/>
        <w:autoSpaceDE/>
        <w:autoSpaceDN/>
        <w:bidi w:val="0"/>
        <w:adjustRightInd/>
        <w:snapToGrid/>
        <w:spacing w:line="520" w:lineRule="exact"/>
        <w:ind w:left="1320" w:firstLine="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合理安装数据库软件；</w:t>
      </w:r>
    </w:p>
    <w:p>
      <w:pPr>
        <w:pStyle w:val="2"/>
        <w:keepNext w:val="0"/>
        <w:keepLines w:val="0"/>
        <w:pageBreakBefore w:val="0"/>
        <w:kinsoku/>
        <w:wordWrap/>
        <w:overflowPunct/>
        <w:topLinePunct w:val="0"/>
        <w:autoSpaceDE/>
        <w:autoSpaceDN/>
        <w:bidi w:val="0"/>
        <w:adjustRightInd/>
        <w:snapToGrid/>
        <w:spacing w:line="520" w:lineRule="exact"/>
        <w:ind w:left="1320" w:firstLine="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 xml:space="preserve">根据应用系统的要求分配数据空间； </w:t>
      </w:r>
    </w:p>
    <w:p>
      <w:pPr>
        <w:pStyle w:val="2"/>
        <w:keepNext w:val="0"/>
        <w:keepLines w:val="0"/>
        <w:pageBreakBefore w:val="0"/>
        <w:kinsoku/>
        <w:wordWrap/>
        <w:overflowPunct/>
        <w:topLinePunct w:val="0"/>
        <w:autoSpaceDE/>
        <w:autoSpaceDN/>
        <w:bidi w:val="0"/>
        <w:adjustRightInd/>
        <w:snapToGrid/>
        <w:spacing w:line="520" w:lineRule="exact"/>
        <w:ind w:left="1320" w:firstLine="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 xml:space="preserve">设置合理的数据库运行参数； </w:t>
      </w:r>
    </w:p>
    <w:p>
      <w:pPr>
        <w:pStyle w:val="2"/>
        <w:keepNext w:val="0"/>
        <w:keepLines w:val="0"/>
        <w:pageBreakBefore w:val="0"/>
        <w:kinsoku/>
        <w:wordWrap/>
        <w:overflowPunct/>
        <w:topLinePunct w:val="0"/>
        <w:autoSpaceDE/>
        <w:autoSpaceDN/>
        <w:bidi w:val="0"/>
        <w:adjustRightInd/>
        <w:snapToGrid/>
        <w:spacing w:line="520" w:lineRule="exact"/>
        <w:ind w:left="1320" w:firstLine="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 xml:space="preserve">检查和设置数据库用户的安全性和访问的安全性； </w:t>
      </w:r>
    </w:p>
    <w:p>
      <w:pPr>
        <w:pStyle w:val="2"/>
        <w:keepNext w:val="0"/>
        <w:keepLines w:val="0"/>
        <w:pageBreakBefore w:val="0"/>
        <w:kinsoku/>
        <w:wordWrap/>
        <w:overflowPunct/>
        <w:topLinePunct w:val="0"/>
        <w:autoSpaceDE/>
        <w:autoSpaceDN/>
        <w:bidi w:val="0"/>
        <w:adjustRightInd/>
        <w:snapToGrid/>
        <w:spacing w:line="520" w:lineRule="exact"/>
        <w:ind w:left="1320" w:firstLine="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 xml:space="preserve">设置数据库的监听程序； </w:t>
      </w:r>
    </w:p>
    <w:p>
      <w:pPr>
        <w:pStyle w:val="2"/>
        <w:keepNext w:val="0"/>
        <w:keepLines w:val="0"/>
        <w:pageBreakBefore w:val="0"/>
        <w:kinsoku/>
        <w:wordWrap/>
        <w:overflowPunct/>
        <w:topLinePunct w:val="0"/>
        <w:autoSpaceDE/>
        <w:autoSpaceDN/>
        <w:bidi w:val="0"/>
        <w:adjustRightInd/>
        <w:snapToGrid/>
        <w:spacing w:line="520" w:lineRule="exact"/>
        <w:ind w:left="1320" w:firstLine="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提供完善的数据库安装报告。</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w:t>
      </w:r>
      <w:r>
        <w:rPr>
          <w:rFonts w:ascii="微软雅黑" w:hAnsi="微软雅黑" w:eastAsia="微软雅黑" w:cs="宋体"/>
          <w:bCs/>
          <w:sz w:val="28"/>
          <w:szCs w:val="28"/>
        </w:rPr>
        <w:t>2</w:t>
      </w:r>
      <w:r>
        <w:rPr>
          <w:rFonts w:hint="eastAsia" w:ascii="微软雅黑" w:hAnsi="微软雅黑" w:eastAsia="微软雅黑" w:cs="宋体"/>
          <w:bCs/>
          <w:sz w:val="28"/>
          <w:szCs w:val="28"/>
        </w:rPr>
        <w:t>）数据库升级服务</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sz w:val="28"/>
          <w:szCs w:val="28"/>
        </w:rPr>
      </w:pPr>
      <w:r>
        <w:rPr>
          <w:rFonts w:hint="eastAsia" w:ascii="微软雅黑" w:hAnsi="微软雅黑" w:eastAsia="微软雅黑" w:cs="宋体"/>
          <w:sz w:val="28"/>
          <w:szCs w:val="28"/>
        </w:rPr>
        <w:t>根据硬件环境，应用类型进行分析，推荐多种升级方案，每种升级方案中明确升级需要的条件、升级时间、业务停止时间、升级技术、风险、数据一致性、回退措施等，协助采购人选择最适合的升级方案。基于中心的数据库版本、补丁等合规性、安全性要求，提供完整的、切实可行的数据库升级实施方案，在数据库升级实施中负责解决全部数据库技术问题。</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sz w:val="28"/>
          <w:szCs w:val="28"/>
        </w:rPr>
      </w:pPr>
      <w:r>
        <w:rPr>
          <w:rFonts w:hint="eastAsia" w:ascii="微软雅黑" w:hAnsi="微软雅黑" w:eastAsia="微软雅黑" w:cs="宋体"/>
          <w:sz w:val="28"/>
          <w:szCs w:val="28"/>
        </w:rPr>
        <w:t>在数据库的升级工作开始前，保证前期调研的完整性。同时与采购人协商安排相应的协调会，做好准备工作，避免实施过程中出现准备不足的情况。在数据库升级项目实施过程有严格的步骤要求，并有方法论做指导。做到规范化流程与标准化操作相结合。通过设计方案+实施方法+规范流程+报告来保障数据库升级后系统的成功上线、可靠运行。数据库升级中需要综合协调，各方资源在前期准备、升级支持与后期维护上都要求投入专业的人员及相关资原。项目实施要求做到包括但不限于如下：</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.1）现状分析及需求调研</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.2）数据库升级环境及版本、风险评估</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.3）制定系统规划、升级计划、应急回退计划</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.4）搭建测试环境，做数据库升级模拟演练</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.5）协助测试应用软件，检测升级的有效性，测试包括功能、备份恢复、压力、故障、割接预演</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.6）安装数据库软件升级包，保证数据库软件的可用性</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.7）协助并做好各项系统备份准备</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.8）申请应用停机时间，进行数据库升级及验证 ；如升级失败，做系统回退</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.9）保障数据库软件的正常工作</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.10）保障系统业务数据正常读取</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.11）比较老的数据库版本不支持直接升级到目标库情况，首先升级到中间数据库版本，然后升级到目标库。</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sz w:val="28"/>
          <w:szCs w:val="28"/>
        </w:rPr>
        <w:t>2</w:t>
      </w:r>
      <w:r>
        <w:rPr>
          <w:rFonts w:hint="eastAsia" w:ascii="微软雅黑" w:hAnsi="微软雅黑" w:eastAsia="微软雅黑" w:cs="宋体"/>
          <w:sz w:val="28"/>
          <w:szCs w:val="28"/>
        </w:rPr>
        <w:t>.1</w:t>
      </w:r>
      <w:r>
        <w:rPr>
          <w:rFonts w:ascii="微软雅黑" w:hAnsi="微软雅黑" w:eastAsia="微软雅黑" w:cs="宋体"/>
          <w:sz w:val="28"/>
          <w:szCs w:val="28"/>
        </w:rPr>
        <w:t>2</w:t>
      </w:r>
      <w:r>
        <w:rPr>
          <w:rFonts w:hint="eastAsia" w:ascii="微软雅黑" w:hAnsi="微软雅黑" w:eastAsia="微软雅黑" w:cs="宋体"/>
          <w:sz w:val="28"/>
          <w:szCs w:val="28"/>
        </w:rPr>
        <w:t>）容灾数据库部署实施。</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w:t>
      </w:r>
      <w:r>
        <w:rPr>
          <w:rFonts w:ascii="微软雅黑" w:hAnsi="微软雅黑" w:eastAsia="微软雅黑" w:cs="宋体"/>
          <w:bCs/>
          <w:sz w:val="28"/>
          <w:szCs w:val="28"/>
        </w:rPr>
        <w:t>3</w:t>
      </w:r>
      <w:r>
        <w:rPr>
          <w:rFonts w:hint="eastAsia" w:ascii="微软雅黑" w:hAnsi="微软雅黑" w:eastAsia="微软雅黑" w:cs="宋体"/>
          <w:bCs/>
          <w:sz w:val="28"/>
          <w:szCs w:val="28"/>
        </w:rPr>
        <w:t>）数据库迁移</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sz w:val="28"/>
          <w:szCs w:val="28"/>
        </w:rPr>
      </w:pPr>
      <w:r>
        <w:rPr>
          <w:rFonts w:ascii="微软雅黑" w:hAnsi="微软雅黑" w:eastAsia="微软雅黑" w:cs="宋体"/>
          <w:bCs/>
          <w:sz w:val="28"/>
          <w:szCs w:val="28"/>
        </w:rPr>
        <w:t>3</w:t>
      </w:r>
      <w:r>
        <w:rPr>
          <w:rFonts w:hint="eastAsia" w:ascii="微软雅黑" w:hAnsi="微软雅黑" w:eastAsia="微软雅黑" w:cs="宋体"/>
          <w:bCs/>
          <w:sz w:val="28"/>
          <w:szCs w:val="28"/>
        </w:rPr>
        <w:t>.1）</w:t>
      </w:r>
      <w:r>
        <w:rPr>
          <w:rFonts w:ascii="微软雅黑" w:hAnsi="微软雅黑" w:eastAsia="微软雅黑"/>
          <w:sz w:val="28"/>
          <w:szCs w:val="28"/>
        </w:rPr>
        <w:t>迁移前协助做好各项系统备份准备</w:t>
      </w:r>
      <w:r>
        <w:rPr>
          <w:rFonts w:hint="eastAsia" w:ascii="微软雅黑" w:hAnsi="微软雅黑" w:eastAsia="微软雅黑"/>
          <w:sz w:val="28"/>
          <w:szCs w:val="28"/>
        </w:rPr>
        <w:t>，现场</w:t>
      </w:r>
      <w:r>
        <w:rPr>
          <w:rFonts w:ascii="微软雅黑" w:hAnsi="微软雅黑" w:eastAsia="微软雅黑"/>
          <w:sz w:val="28"/>
          <w:szCs w:val="28"/>
        </w:rPr>
        <w:t>实施数据迁移任务</w:t>
      </w:r>
      <w:r>
        <w:rPr>
          <w:rFonts w:hint="eastAsia" w:ascii="微软雅黑" w:hAnsi="微软雅黑" w:eastAsia="微软雅黑"/>
          <w:sz w:val="28"/>
          <w:szCs w:val="28"/>
        </w:rPr>
        <w:t>。</w:t>
      </w:r>
      <w:r>
        <w:rPr>
          <w:rFonts w:ascii="微软雅黑" w:hAnsi="微软雅黑" w:eastAsia="微软雅黑"/>
          <w:sz w:val="28"/>
          <w:szCs w:val="28"/>
        </w:rPr>
        <w:t xml:space="preserve"> </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sz w:val="28"/>
          <w:szCs w:val="28"/>
        </w:rPr>
      </w:pPr>
      <w:r>
        <w:rPr>
          <w:rFonts w:hint="eastAsia" w:ascii="微软雅黑" w:hAnsi="微软雅黑" w:eastAsia="微软雅黑" w:cs="宋体"/>
          <w:sz w:val="28"/>
          <w:szCs w:val="28"/>
        </w:rPr>
        <w:t>根据新老系统的硬件环境，数据库版本，应用类型，业务可以允许的停止时间，进行综合性分析，提供几种可选的数据迁移方案，评估迁移兼容性、成功率，并描述优缺点、风险和停机时长，与我方业务人员详细研讨后，制定出适合特定业务系统的迁移方案。</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bCs/>
          <w:sz w:val="28"/>
          <w:szCs w:val="28"/>
        </w:rPr>
        <w:t>3</w:t>
      </w:r>
      <w:r>
        <w:rPr>
          <w:rFonts w:hint="eastAsia" w:ascii="微软雅黑" w:hAnsi="微软雅黑" w:eastAsia="微软雅黑" w:cs="宋体"/>
          <w:bCs/>
          <w:sz w:val="28"/>
          <w:szCs w:val="28"/>
        </w:rPr>
        <w:t>.2）</w:t>
      </w:r>
      <w:r>
        <w:rPr>
          <w:rFonts w:hint="eastAsia" w:ascii="微软雅黑" w:hAnsi="微软雅黑" w:eastAsia="微软雅黑" w:cs="宋体"/>
          <w:sz w:val="28"/>
          <w:szCs w:val="28"/>
        </w:rPr>
        <w:t>迁移方案需描述详细的迁移步骤和命令以及必要的保障措施和风险规避措施，保障数据库的迁移前、迁移中、迁移后的系统正常和数据安全。</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bCs/>
          <w:sz w:val="28"/>
          <w:szCs w:val="28"/>
        </w:rPr>
        <w:t>3</w:t>
      </w:r>
      <w:r>
        <w:rPr>
          <w:rFonts w:hint="eastAsia" w:ascii="微软雅黑" w:hAnsi="微软雅黑" w:eastAsia="微软雅黑" w:cs="宋体"/>
          <w:bCs/>
          <w:sz w:val="28"/>
          <w:szCs w:val="28"/>
        </w:rPr>
        <w:t>.3）</w:t>
      </w:r>
      <w:r>
        <w:rPr>
          <w:rFonts w:hint="eastAsia" w:ascii="微软雅黑" w:hAnsi="微软雅黑" w:eastAsia="微软雅黑" w:cs="宋体"/>
          <w:sz w:val="28"/>
          <w:szCs w:val="28"/>
        </w:rPr>
        <w:t>迁移中需测试业务性能，数据有效性，协助用户提供业务应用测试时间段的数据库性能报表。</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bCs/>
          <w:sz w:val="28"/>
          <w:szCs w:val="28"/>
        </w:rPr>
        <w:t>3.</w:t>
      </w:r>
      <w:r>
        <w:rPr>
          <w:rFonts w:hint="eastAsia" w:ascii="微软雅黑" w:hAnsi="微软雅黑" w:eastAsia="微软雅黑" w:cs="宋体"/>
          <w:bCs/>
          <w:sz w:val="28"/>
          <w:szCs w:val="28"/>
        </w:rPr>
        <w:t>4）</w:t>
      </w:r>
      <w:r>
        <w:rPr>
          <w:rFonts w:hint="eastAsia" w:ascii="微软雅黑" w:hAnsi="微软雅黑" w:eastAsia="微软雅黑" w:cs="宋体"/>
          <w:sz w:val="28"/>
          <w:szCs w:val="28"/>
        </w:rPr>
        <w:t>迁移完成后，对迁移后的数据库进行测试、数据校验，保证数据库的可用性，并协助测试应用系统，检测迁移数据的有效性；迁移工作完成后，提交完整的系统迁移文档。</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sz w:val="28"/>
          <w:szCs w:val="28"/>
        </w:rPr>
      </w:pPr>
      <w:r>
        <w:rPr>
          <w:rFonts w:hint="eastAsia" w:ascii="微软雅黑" w:hAnsi="微软雅黑" w:eastAsia="微软雅黑" w:cs="宋体"/>
          <w:sz w:val="28"/>
          <w:szCs w:val="28"/>
        </w:rPr>
        <w:t>（</w:t>
      </w:r>
      <w:r>
        <w:rPr>
          <w:rFonts w:ascii="微软雅黑" w:hAnsi="微软雅黑" w:eastAsia="微软雅黑" w:cs="宋体"/>
          <w:sz w:val="28"/>
          <w:szCs w:val="28"/>
        </w:rPr>
        <w:t>4</w:t>
      </w:r>
      <w:r>
        <w:rPr>
          <w:rFonts w:hint="eastAsia" w:ascii="微软雅黑" w:hAnsi="微软雅黑" w:eastAsia="微软雅黑" w:cs="宋体"/>
          <w:sz w:val="28"/>
          <w:szCs w:val="28"/>
        </w:rPr>
        <w:t xml:space="preserve">）系统上线保障服务 </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bCs/>
          <w:sz w:val="28"/>
          <w:szCs w:val="28"/>
        </w:rPr>
        <w:t>4</w:t>
      </w:r>
      <w:r>
        <w:rPr>
          <w:rFonts w:hint="eastAsia" w:ascii="微软雅黑" w:hAnsi="微软雅黑" w:eastAsia="微软雅黑" w:cs="宋体"/>
          <w:bCs/>
          <w:sz w:val="28"/>
          <w:szCs w:val="28"/>
        </w:rPr>
        <w:t>.1）</w:t>
      </w:r>
      <w:r>
        <w:rPr>
          <w:rFonts w:hint="eastAsia" w:ascii="微软雅黑" w:hAnsi="微软雅黑" w:eastAsia="微软雅黑" w:cs="宋体"/>
          <w:sz w:val="28"/>
          <w:szCs w:val="28"/>
        </w:rPr>
        <w:t>新业务上线后对新业务性能情况进行持续一段时间的跟踪（包括性能波动，数据增长，内存抖动，连接数量），</w:t>
      </w:r>
      <w:r>
        <w:rPr>
          <w:rFonts w:ascii="微软雅黑" w:hAnsi="微软雅黑" w:eastAsia="微软雅黑"/>
          <w:sz w:val="28"/>
          <w:szCs w:val="28"/>
        </w:rPr>
        <w:t>提供</w:t>
      </w:r>
      <w:r>
        <w:rPr>
          <w:rFonts w:hint="eastAsia" w:ascii="微软雅黑" w:hAnsi="微软雅黑" w:eastAsia="微软雅黑"/>
          <w:sz w:val="28"/>
          <w:szCs w:val="28"/>
        </w:rPr>
        <w:t>三</w:t>
      </w:r>
      <w:r>
        <w:rPr>
          <w:rFonts w:ascii="微软雅黑" w:hAnsi="微软雅黑" w:eastAsia="微软雅黑"/>
          <w:sz w:val="28"/>
          <w:szCs w:val="28"/>
        </w:rPr>
        <w:t>个月客户现场5*8驻场服务，响应时间7*24</w:t>
      </w:r>
      <w:r>
        <w:rPr>
          <w:rFonts w:hint="eastAsia" w:ascii="微软雅黑" w:hAnsi="微软雅黑" w:eastAsia="微软雅黑"/>
          <w:sz w:val="28"/>
          <w:szCs w:val="28"/>
        </w:rPr>
        <w:t>小时支持。</w:t>
      </w:r>
      <w:r>
        <w:rPr>
          <w:rFonts w:hint="eastAsia" w:ascii="微软雅黑" w:hAnsi="微软雅黑" w:eastAsia="微软雅黑" w:cs="宋体"/>
          <w:sz w:val="28"/>
          <w:szCs w:val="28"/>
        </w:rPr>
        <w:t>分析业务性能异常部分以及可能引起Oracle数据库运行稳定的因素进行调整，保障业务稳定上线运行。</w:t>
      </w:r>
    </w:p>
    <w:p>
      <w:pPr>
        <w:pStyle w:val="2"/>
        <w:keepNext w:val="0"/>
        <w:keepLines w:val="0"/>
        <w:pageBreakBefore w:val="0"/>
        <w:kinsoku/>
        <w:wordWrap/>
        <w:overflowPunct/>
        <w:topLinePunct w:val="0"/>
        <w:autoSpaceDE/>
        <w:autoSpaceDN/>
        <w:bidi w:val="0"/>
        <w:adjustRightInd/>
        <w:snapToGrid/>
        <w:spacing w:line="520" w:lineRule="exact"/>
        <w:ind w:firstLine="840" w:firstLineChars="300"/>
        <w:textAlignment w:val="auto"/>
        <w:rPr>
          <w:rFonts w:ascii="微软雅黑" w:hAnsi="微软雅黑" w:eastAsia="微软雅黑" w:cs="宋体"/>
          <w:sz w:val="28"/>
          <w:szCs w:val="28"/>
        </w:rPr>
      </w:pPr>
      <w:r>
        <w:rPr>
          <w:rFonts w:ascii="微软雅黑" w:hAnsi="微软雅黑" w:eastAsia="微软雅黑" w:cs="宋体"/>
          <w:bCs/>
          <w:sz w:val="28"/>
          <w:szCs w:val="28"/>
        </w:rPr>
        <w:t>4</w:t>
      </w:r>
      <w:r>
        <w:rPr>
          <w:rFonts w:hint="eastAsia" w:ascii="微软雅黑" w:hAnsi="微软雅黑" w:eastAsia="微软雅黑" w:cs="宋体"/>
          <w:bCs/>
          <w:sz w:val="28"/>
          <w:szCs w:val="28"/>
        </w:rPr>
        <w:t>.</w:t>
      </w:r>
      <w:r>
        <w:rPr>
          <w:rFonts w:ascii="微软雅黑" w:hAnsi="微软雅黑" w:eastAsia="微软雅黑" w:cs="宋体"/>
          <w:bCs/>
          <w:sz w:val="28"/>
          <w:szCs w:val="28"/>
        </w:rPr>
        <w:t>2</w:t>
      </w:r>
      <w:r>
        <w:rPr>
          <w:rFonts w:hint="eastAsia" w:ascii="微软雅黑" w:hAnsi="微软雅黑" w:eastAsia="微软雅黑" w:cs="宋体"/>
          <w:bCs/>
          <w:sz w:val="28"/>
          <w:szCs w:val="28"/>
        </w:rPr>
        <w:t>）数据归档：</w:t>
      </w:r>
      <w:r>
        <w:rPr>
          <w:rFonts w:hint="eastAsia" w:ascii="微软雅黑" w:hAnsi="微软雅黑" w:eastAsia="微软雅黑" w:cs="宋体"/>
          <w:sz w:val="28"/>
          <w:szCs w:val="28"/>
        </w:rPr>
        <w:t>数据库中存在数据量较大的对象已严重影响应用响应性能及数据库资源消耗，需要针对此类问题提供高级技术支持工作，评估数据库系统整体情况，设计合理数据归档改造方案和提供实施落地技术支持，最终达到数据库瘦身、业务模块性能提升、数据库整体资源消耗下降等目标。</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w:t>
      </w:r>
      <w:r>
        <w:rPr>
          <w:rFonts w:ascii="微软雅黑" w:hAnsi="微软雅黑" w:eastAsia="微软雅黑" w:cs="宋体"/>
          <w:bCs/>
          <w:sz w:val="28"/>
          <w:szCs w:val="28"/>
        </w:rPr>
        <w:t>5</w:t>
      </w:r>
      <w:r>
        <w:rPr>
          <w:rFonts w:hint="eastAsia" w:ascii="微软雅黑" w:hAnsi="微软雅黑" w:eastAsia="微软雅黑" w:cs="宋体"/>
          <w:bCs/>
          <w:sz w:val="28"/>
          <w:szCs w:val="28"/>
        </w:rPr>
        <w:t>）</w:t>
      </w:r>
      <w:r>
        <w:rPr>
          <w:rFonts w:hint="eastAsia" w:ascii="微软雅黑" w:hAnsi="微软雅黑" w:eastAsia="微软雅黑" w:cs="宋体"/>
          <w:sz w:val="28"/>
          <w:szCs w:val="28"/>
        </w:rPr>
        <w:t>咨询交流</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对于数据库新版本特性、性能调优等方面，提供技术咨询服务，包括不限以下内容：</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ascii="微软雅黑" w:hAnsi="微软雅黑" w:eastAsia="微软雅黑" w:cs="宋体"/>
          <w:bCs/>
          <w:sz w:val="28"/>
          <w:szCs w:val="28"/>
        </w:rPr>
        <w:t>1</w:t>
      </w:r>
      <w:r>
        <w:rPr>
          <w:rFonts w:hint="eastAsia" w:ascii="微软雅黑" w:hAnsi="微软雅黑" w:eastAsia="微软雅黑" w:cs="宋体"/>
          <w:bCs/>
          <w:sz w:val="28"/>
          <w:szCs w:val="28"/>
        </w:rPr>
        <w:t>、针对系统需求情况，介绍数据库和应用新产品、新版本的框架体系结构；</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ascii="微软雅黑" w:hAnsi="微软雅黑" w:eastAsia="微软雅黑" w:cs="宋体"/>
          <w:bCs/>
          <w:sz w:val="28"/>
          <w:szCs w:val="28"/>
        </w:rPr>
        <w:t>2</w:t>
      </w:r>
      <w:r>
        <w:rPr>
          <w:rFonts w:hint="eastAsia" w:ascii="微软雅黑" w:hAnsi="微软雅黑" w:eastAsia="微软雅黑" w:cs="宋体"/>
          <w:bCs/>
          <w:sz w:val="28"/>
          <w:szCs w:val="28"/>
        </w:rPr>
        <w:t>、IT系统集成的底层技术介绍；</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3、介绍数据库等核心应用产品的开发标准、规范，以便用户进行二次开发；</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ascii="微软雅黑" w:hAnsi="微软雅黑" w:eastAsia="微软雅黑" w:cs="宋体"/>
          <w:bCs/>
          <w:sz w:val="28"/>
          <w:szCs w:val="28"/>
        </w:rPr>
        <w:t>4</w:t>
      </w:r>
      <w:r>
        <w:rPr>
          <w:rFonts w:hint="eastAsia" w:ascii="微软雅黑" w:hAnsi="微软雅黑" w:eastAsia="微软雅黑" w:cs="宋体"/>
          <w:bCs/>
          <w:sz w:val="28"/>
          <w:szCs w:val="28"/>
        </w:rPr>
        <w:t>、数据库应用技术深层次咨询；</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5、数据库故障复盘及运维经验交流。</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以上咨询内容不限次数，按需进行。</w:t>
      </w:r>
    </w:p>
    <w:p>
      <w:pPr>
        <w:pStyle w:val="2"/>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微软雅黑" w:hAnsi="微软雅黑" w:eastAsia="微软雅黑" w:cs="宋体"/>
          <w:bCs/>
          <w:sz w:val="28"/>
          <w:szCs w:val="28"/>
        </w:rPr>
      </w:pPr>
    </w:p>
    <w:p>
      <w:pPr>
        <w:pStyle w:val="15"/>
        <w:keepNext w:val="0"/>
        <w:keepLines w:val="0"/>
        <w:pageBreakBefore w:val="0"/>
        <w:numPr>
          <w:ilvl w:val="0"/>
          <w:numId w:val="1"/>
        </w:numPr>
        <w:kinsoku/>
        <w:wordWrap/>
        <w:overflowPunct/>
        <w:topLinePunct w:val="0"/>
        <w:autoSpaceDE/>
        <w:autoSpaceDN/>
        <w:bidi w:val="0"/>
        <w:adjustRightInd/>
        <w:snapToGrid/>
        <w:spacing w:line="520" w:lineRule="exact"/>
        <w:ind w:firstLineChars="0"/>
        <w:textAlignment w:val="auto"/>
        <w:rPr>
          <w:rFonts w:ascii="微软雅黑" w:hAnsi="微软雅黑" w:eastAsia="微软雅黑" w:cs="宋体"/>
          <w:b/>
          <w:bCs/>
          <w:sz w:val="32"/>
          <w:szCs w:val="32"/>
        </w:rPr>
      </w:pPr>
      <w:r>
        <w:rPr>
          <w:rFonts w:ascii="微软雅黑" w:hAnsi="微软雅黑" w:eastAsia="微软雅黑" w:cs="宋体"/>
          <w:b/>
          <w:bCs/>
          <w:sz w:val="32"/>
          <w:szCs w:val="32"/>
        </w:rPr>
        <w:t>O</w:t>
      </w:r>
      <w:r>
        <w:rPr>
          <w:rFonts w:hint="eastAsia" w:ascii="微软雅黑" w:hAnsi="微软雅黑" w:eastAsia="微软雅黑" w:cs="宋体"/>
          <w:b/>
          <w:bCs/>
          <w:sz w:val="32"/>
          <w:szCs w:val="32"/>
        </w:rPr>
        <w:t>racle许可参数要求</w:t>
      </w:r>
    </w:p>
    <w:tbl>
      <w:tblPr>
        <w:tblStyle w:val="7"/>
        <w:tblW w:w="8926" w:type="dxa"/>
        <w:jc w:val="center"/>
        <w:tblLayout w:type="autofit"/>
        <w:tblCellMar>
          <w:top w:w="0" w:type="dxa"/>
          <w:left w:w="108" w:type="dxa"/>
          <w:bottom w:w="0" w:type="dxa"/>
          <w:right w:w="108" w:type="dxa"/>
        </w:tblCellMar>
      </w:tblPr>
      <w:tblGrid>
        <w:gridCol w:w="936"/>
        <w:gridCol w:w="1894"/>
        <w:gridCol w:w="818"/>
        <w:gridCol w:w="4144"/>
        <w:gridCol w:w="1134"/>
      </w:tblGrid>
      <w:tr>
        <w:tblPrEx>
          <w:tblCellMar>
            <w:top w:w="0" w:type="dxa"/>
            <w:left w:w="108" w:type="dxa"/>
            <w:bottom w:w="0" w:type="dxa"/>
            <w:right w:w="108" w:type="dxa"/>
          </w:tblCellMar>
        </w:tblPrEx>
        <w:trPr>
          <w:trHeight w:val="994" w:hRule="atLeast"/>
          <w:jc w:val="center"/>
        </w:trPr>
        <w:tc>
          <w:tcPr>
            <w:tcW w:w="936"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序号</w:t>
            </w:r>
          </w:p>
        </w:tc>
        <w:tc>
          <w:tcPr>
            <w:tcW w:w="1894" w:type="dxa"/>
            <w:tcBorders>
              <w:top w:val="single" w:color="auto" w:sz="4" w:space="0"/>
              <w:left w:val="nil"/>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产品</w:t>
            </w:r>
          </w:p>
        </w:tc>
        <w:tc>
          <w:tcPr>
            <w:tcW w:w="818" w:type="dxa"/>
            <w:tcBorders>
              <w:top w:val="single" w:color="auto" w:sz="4" w:space="0"/>
              <w:left w:val="nil"/>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版本</w:t>
            </w:r>
          </w:p>
        </w:tc>
        <w:tc>
          <w:tcPr>
            <w:tcW w:w="4144"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产品描述</w:t>
            </w:r>
          </w:p>
        </w:tc>
        <w:tc>
          <w:tcPr>
            <w:tcW w:w="113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数量</w:t>
            </w:r>
          </w:p>
        </w:tc>
      </w:tr>
      <w:tr>
        <w:tblPrEx>
          <w:tblCellMar>
            <w:top w:w="0" w:type="dxa"/>
            <w:left w:w="108" w:type="dxa"/>
            <w:bottom w:w="0" w:type="dxa"/>
            <w:right w:w="108" w:type="dxa"/>
          </w:tblCellMar>
        </w:tblPrEx>
        <w:trPr>
          <w:trHeight w:val="1020" w:hRule="atLeast"/>
          <w:jc w:val="center"/>
        </w:trPr>
        <w:tc>
          <w:tcPr>
            <w:tcW w:w="936"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1</w:t>
            </w:r>
          </w:p>
        </w:tc>
        <w:tc>
          <w:tcPr>
            <w:tcW w:w="1894" w:type="dxa"/>
            <w:vMerge w:val="restart"/>
            <w:tcBorders>
              <w:top w:val="single" w:color="auto" w:sz="4" w:space="0"/>
              <w:left w:val="nil"/>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Oracle 软件</w:t>
            </w:r>
          </w:p>
        </w:tc>
        <w:tc>
          <w:tcPr>
            <w:tcW w:w="818" w:type="dxa"/>
            <w:vMerge w:val="restart"/>
            <w:tcBorders>
              <w:top w:val="single" w:color="auto" w:sz="4" w:space="0"/>
              <w:left w:val="nil"/>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19c</w:t>
            </w:r>
          </w:p>
        </w:tc>
        <w:tc>
          <w:tcPr>
            <w:tcW w:w="4144"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Oracle 数据库企业版</w:t>
            </w:r>
            <w:r>
              <w:rPr>
                <w:rFonts w:hint="eastAsia" w:ascii="微软雅黑" w:hAnsi="微软雅黑" w:eastAsia="微软雅黑" w:cs="宋体"/>
                <w:bCs/>
                <w:sz w:val="28"/>
                <w:szCs w:val="28"/>
              </w:rPr>
              <w:br w:type="textWrapping"/>
            </w:r>
            <w:r>
              <w:rPr>
                <w:rFonts w:hint="eastAsia" w:ascii="微软雅黑" w:hAnsi="微软雅黑" w:eastAsia="微软雅黑" w:cs="宋体"/>
                <w:bCs/>
                <w:sz w:val="28"/>
                <w:szCs w:val="28"/>
              </w:rPr>
              <w:t>Database Enterprise Edition</w:t>
            </w:r>
          </w:p>
        </w:tc>
        <w:tc>
          <w:tcPr>
            <w:tcW w:w="113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ascii="微软雅黑" w:hAnsi="微软雅黑" w:eastAsia="微软雅黑" w:cs="宋体"/>
                <w:bCs/>
                <w:sz w:val="28"/>
                <w:szCs w:val="28"/>
              </w:rPr>
              <w:t>4</w:t>
            </w:r>
            <w:r>
              <w:rPr>
                <w:rFonts w:hint="eastAsia" w:ascii="微软雅黑" w:hAnsi="微软雅黑" w:eastAsia="微软雅黑" w:cs="宋体"/>
                <w:bCs/>
                <w:sz w:val="28"/>
                <w:szCs w:val="28"/>
              </w:rPr>
              <w:t>c</w:t>
            </w:r>
          </w:p>
        </w:tc>
      </w:tr>
      <w:tr>
        <w:tblPrEx>
          <w:tblCellMar>
            <w:top w:w="0" w:type="dxa"/>
            <w:left w:w="108" w:type="dxa"/>
            <w:bottom w:w="0" w:type="dxa"/>
            <w:right w:w="108" w:type="dxa"/>
          </w:tblCellMar>
        </w:tblPrEx>
        <w:trPr>
          <w:trHeight w:val="1020" w:hRule="atLeast"/>
          <w:jc w:val="center"/>
        </w:trPr>
        <w:tc>
          <w:tcPr>
            <w:tcW w:w="936"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p>
        </w:tc>
        <w:tc>
          <w:tcPr>
            <w:tcW w:w="1894" w:type="dxa"/>
            <w:vMerge w:val="continue"/>
            <w:tcBorders>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p>
        </w:tc>
        <w:tc>
          <w:tcPr>
            <w:tcW w:w="818" w:type="dxa"/>
            <w:vMerge w:val="continue"/>
            <w:tcBorders>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p>
        </w:tc>
        <w:tc>
          <w:tcPr>
            <w:tcW w:w="4144"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ascii="微软雅黑" w:hAnsi="微软雅黑" w:eastAsia="微软雅黑" w:cs="宋体"/>
                <w:bCs/>
                <w:sz w:val="28"/>
                <w:szCs w:val="28"/>
              </w:rPr>
            </w:pPr>
            <w:r>
              <w:rPr>
                <w:rFonts w:ascii="微软雅黑" w:hAnsi="微软雅黑" w:eastAsia="微软雅黑" w:cs="宋体"/>
                <w:bCs/>
                <w:sz w:val="28"/>
                <w:szCs w:val="28"/>
              </w:rPr>
              <w:t>Oracle</w:t>
            </w:r>
            <w:r>
              <w:rPr>
                <w:rFonts w:hint="eastAsia" w:ascii="微软雅黑" w:hAnsi="微软雅黑" w:eastAsia="微软雅黑" w:cs="宋体"/>
                <w:bCs/>
                <w:sz w:val="28"/>
                <w:szCs w:val="28"/>
              </w:rPr>
              <w:t>数据库企业版</w:t>
            </w:r>
            <w:r>
              <w:rPr>
                <w:rFonts w:hint="eastAsia" w:ascii="微软雅黑" w:hAnsi="微软雅黑" w:eastAsia="微软雅黑" w:cs="宋体"/>
                <w:bCs/>
                <w:sz w:val="28"/>
                <w:szCs w:val="28"/>
              </w:rPr>
              <w:br w:type="textWrapping"/>
            </w:r>
            <w:r>
              <w:rPr>
                <w:rFonts w:ascii="微软雅黑" w:hAnsi="微软雅黑" w:eastAsia="微软雅黑" w:cs="宋体"/>
                <w:bCs/>
                <w:sz w:val="28"/>
                <w:szCs w:val="28"/>
              </w:rPr>
              <w:t>Real Application Clusters</w:t>
            </w:r>
          </w:p>
        </w:tc>
        <w:tc>
          <w:tcPr>
            <w:tcW w:w="113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bCs/>
                <w:sz w:val="28"/>
                <w:szCs w:val="28"/>
              </w:rPr>
            </w:pPr>
            <w:r>
              <w:rPr>
                <w:rFonts w:hint="eastAsia" w:ascii="微软雅黑" w:hAnsi="微软雅黑" w:eastAsia="微软雅黑" w:cs="宋体"/>
                <w:bCs/>
                <w:sz w:val="28"/>
                <w:szCs w:val="28"/>
              </w:rPr>
              <w:t>2r</w:t>
            </w:r>
          </w:p>
        </w:tc>
      </w:tr>
    </w:tbl>
    <w:p>
      <w:pPr>
        <w:keepNext w:val="0"/>
        <w:keepLines w:val="0"/>
        <w:pageBreakBefore w:val="0"/>
        <w:kinsoku/>
        <w:wordWrap/>
        <w:overflowPunct/>
        <w:topLinePunct w:val="0"/>
        <w:autoSpaceDE/>
        <w:autoSpaceDN/>
        <w:bidi w:val="0"/>
        <w:adjustRightInd/>
        <w:snapToGrid/>
        <w:spacing w:line="520" w:lineRule="exact"/>
        <w:textAlignment w:val="auto"/>
        <w:rPr>
          <w:rFonts w:ascii="微软雅黑" w:hAnsi="微软雅黑" w:eastAsia="微软雅黑" w:cs="宋体"/>
          <w:b/>
          <w:bCs/>
          <w:sz w:val="32"/>
          <w:szCs w:val="32"/>
        </w:rPr>
      </w:pPr>
    </w:p>
    <w:p>
      <w:pPr>
        <w:pStyle w:val="15"/>
        <w:keepNext w:val="0"/>
        <w:keepLines w:val="0"/>
        <w:pageBreakBefore w:val="0"/>
        <w:numPr>
          <w:ilvl w:val="0"/>
          <w:numId w:val="1"/>
        </w:numPr>
        <w:kinsoku/>
        <w:wordWrap/>
        <w:overflowPunct/>
        <w:topLinePunct w:val="0"/>
        <w:autoSpaceDE/>
        <w:autoSpaceDN/>
        <w:bidi w:val="0"/>
        <w:adjustRightInd/>
        <w:snapToGrid/>
        <w:spacing w:line="520" w:lineRule="exact"/>
        <w:ind w:firstLineChars="0"/>
        <w:textAlignment w:val="auto"/>
        <w:rPr>
          <w:rFonts w:ascii="微软雅黑" w:hAnsi="微软雅黑" w:eastAsia="微软雅黑" w:cs="宋体"/>
          <w:b/>
          <w:bCs/>
          <w:sz w:val="32"/>
          <w:szCs w:val="32"/>
        </w:rPr>
      </w:pPr>
      <w:r>
        <w:rPr>
          <w:rFonts w:hint="eastAsia" w:ascii="微软雅黑" w:hAnsi="微软雅黑" w:eastAsia="微软雅黑" w:cs="宋体"/>
          <w:b/>
          <w:bCs/>
          <w:sz w:val="32"/>
          <w:szCs w:val="32"/>
        </w:rPr>
        <w:t>商务要求</w:t>
      </w:r>
    </w:p>
    <w:p>
      <w:pPr>
        <w:pStyle w:val="15"/>
        <w:keepNext w:val="0"/>
        <w:keepLines w:val="0"/>
        <w:pageBreakBefore w:val="0"/>
        <w:widowControl/>
        <w:numPr>
          <w:ilvl w:val="0"/>
          <w:numId w:val="3"/>
        </w:numPr>
        <w:kinsoku/>
        <w:wordWrap/>
        <w:overflowPunct/>
        <w:topLinePunct w:val="0"/>
        <w:autoSpaceDE/>
        <w:autoSpaceDN/>
        <w:bidi w:val="0"/>
        <w:adjustRightInd/>
        <w:snapToGrid/>
        <w:spacing w:line="520" w:lineRule="exact"/>
        <w:ind w:firstLineChars="0"/>
        <w:jc w:val="left"/>
        <w:textAlignment w:val="auto"/>
        <w:rPr>
          <w:rFonts w:ascii="微软雅黑" w:hAnsi="微软雅黑" w:eastAsia="微软雅黑" w:cs="宋体"/>
          <w:b/>
          <w:bCs/>
          <w:kern w:val="0"/>
          <w:sz w:val="28"/>
          <w:szCs w:val="28"/>
        </w:rPr>
      </w:pPr>
      <w:r>
        <w:rPr>
          <w:rFonts w:hint="eastAsia" w:ascii="微软雅黑" w:hAnsi="微软雅黑" w:eastAsia="微软雅黑" w:cs="宋体"/>
          <w:b/>
          <w:bCs/>
          <w:kern w:val="0"/>
          <w:sz w:val="28"/>
          <w:szCs w:val="28"/>
        </w:rPr>
        <w:t>项目款项</w:t>
      </w:r>
    </w:p>
    <w:p>
      <w:pPr>
        <w:keepNext w:val="0"/>
        <w:keepLines w:val="0"/>
        <w:pageBreakBefore w:val="0"/>
        <w:widowControl/>
        <w:numPr>
          <w:ilvl w:val="0"/>
          <w:numId w:val="4"/>
        </w:numPr>
        <w:kinsoku/>
        <w:wordWrap/>
        <w:overflowPunct/>
        <w:topLinePunct w:val="0"/>
        <w:autoSpaceDE/>
        <w:autoSpaceDN/>
        <w:bidi w:val="0"/>
        <w:adjustRightInd/>
        <w:snapToGrid/>
        <w:spacing w:line="520" w:lineRule="exact"/>
        <w:jc w:val="left"/>
        <w:textAlignment w:val="auto"/>
        <w:rPr>
          <w:rFonts w:ascii="微软雅黑" w:hAnsi="微软雅黑" w:eastAsia="微软雅黑" w:cs="宋体"/>
          <w:b/>
          <w:bCs/>
          <w:kern w:val="0"/>
          <w:sz w:val="28"/>
          <w:szCs w:val="28"/>
        </w:rPr>
      </w:pPr>
      <w:r>
        <w:rPr>
          <w:rFonts w:hint="eastAsia" w:ascii="微软雅黑" w:hAnsi="微软雅黑" w:eastAsia="微软雅黑"/>
          <w:b/>
          <w:color w:val="000000"/>
          <w:sz w:val="28"/>
          <w:szCs w:val="28"/>
          <w:u w:val="single"/>
        </w:rPr>
        <w:t>本合同费用总计</w:t>
      </w:r>
      <w:r>
        <w:rPr>
          <w:rFonts w:hint="eastAsia" w:ascii="微软雅黑" w:hAnsi="微软雅黑" w:eastAsia="微软雅黑"/>
          <w:color w:val="000000"/>
          <w:sz w:val="28"/>
          <w:szCs w:val="28"/>
        </w:rPr>
        <w:t>人民币_________元(大写：人民币_________元整)。</w:t>
      </w:r>
    </w:p>
    <w:tbl>
      <w:tblPr>
        <w:tblStyle w:val="8"/>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3978"/>
        <w:gridCol w:w="2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r>
              <w:rPr>
                <w:rFonts w:hint="eastAsia" w:ascii="微软雅黑" w:hAnsi="微软雅黑" w:eastAsia="微软雅黑" w:cs="宋体"/>
                <w:kern w:val="0"/>
                <w:sz w:val="28"/>
                <w:szCs w:val="28"/>
              </w:rPr>
              <w:t>序号</w:t>
            </w:r>
          </w:p>
        </w:tc>
        <w:tc>
          <w:tcPr>
            <w:tcW w:w="3978"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r>
              <w:rPr>
                <w:rFonts w:hint="eastAsia" w:ascii="微软雅黑" w:hAnsi="微软雅黑" w:eastAsia="微软雅黑" w:cs="宋体"/>
                <w:kern w:val="0"/>
                <w:sz w:val="28"/>
                <w:szCs w:val="28"/>
              </w:rPr>
              <w:t>内容</w:t>
            </w:r>
          </w:p>
        </w:tc>
        <w:tc>
          <w:tcPr>
            <w:tcW w:w="2622"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r>
              <w:rPr>
                <w:rFonts w:hint="eastAsia" w:ascii="微软雅黑" w:hAnsi="微软雅黑" w:eastAsia="微软雅黑" w:cs="宋体"/>
                <w:kern w:val="0"/>
                <w:sz w:val="28"/>
                <w:szCs w:val="28"/>
              </w:rPr>
              <w:t>费用金额（元）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r>
              <w:rPr>
                <w:rFonts w:hint="eastAsia" w:ascii="微软雅黑" w:hAnsi="微软雅黑" w:eastAsia="微软雅黑" w:cs="宋体"/>
                <w:kern w:val="0"/>
                <w:sz w:val="28"/>
                <w:szCs w:val="28"/>
              </w:rPr>
              <w:t>1</w:t>
            </w:r>
          </w:p>
        </w:tc>
        <w:tc>
          <w:tcPr>
            <w:tcW w:w="3978"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r>
              <w:rPr>
                <w:rFonts w:hint="eastAsia" w:ascii="微软雅黑" w:hAnsi="微软雅黑" w:eastAsia="微软雅黑" w:cs="宋体"/>
                <w:kern w:val="0"/>
                <w:sz w:val="28"/>
                <w:szCs w:val="28"/>
              </w:rPr>
              <w:t>硬件部分</w:t>
            </w:r>
          </w:p>
        </w:tc>
        <w:tc>
          <w:tcPr>
            <w:tcW w:w="2622"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r>
              <w:rPr>
                <w:rFonts w:hint="eastAsia" w:ascii="微软雅黑" w:hAnsi="微软雅黑" w:eastAsia="微软雅黑" w:cs="宋体"/>
                <w:kern w:val="0"/>
                <w:sz w:val="28"/>
                <w:szCs w:val="28"/>
              </w:rPr>
              <w:t>2</w:t>
            </w:r>
          </w:p>
        </w:tc>
        <w:tc>
          <w:tcPr>
            <w:tcW w:w="3978"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r>
              <w:rPr>
                <w:rFonts w:hint="eastAsia" w:ascii="微软雅黑" w:hAnsi="微软雅黑" w:eastAsia="微软雅黑" w:cs="宋体"/>
                <w:kern w:val="0"/>
                <w:sz w:val="28"/>
                <w:szCs w:val="28"/>
              </w:rPr>
              <w:t>集成服务及软件许可部分</w:t>
            </w:r>
          </w:p>
        </w:tc>
        <w:tc>
          <w:tcPr>
            <w:tcW w:w="2622"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4" w:type="dxa"/>
            <w:gridSpan w:val="2"/>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r>
              <w:rPr>
                <w:rFonts w:hint="eastAsia" w:ascii="微软雅黑" w:hAnsi="微软雅黑" w:eastAsia="微软雅黑" w:cs="宋体"/>
                <w:kern w:val="0"/>
                <w:sz w:val="28"/>
                <w:szCs w:val="28"/>
              </w:rPr>
              <w:t>合计</w:t>
            </w:r>
          </w:p>
        </w:tc>
        <w:tc>
          <w:tcPr>
            <w:tcW w:w="2622" w:type="dxa"/>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ascii="微软雅黑" w:hAnsi="微软雅黑" w:eastAsia="微软雅黑" w:cs="宋体"/>
                <w:kern w:val="0"/>
                <w:sz w:val="28"/>
                <w:szCs w:val="28"/>
              </w:rPr>
            </w:pPr>
          </w:p>
        </w:tc>
      </w:tr>
    </w:tbl>
    <w:p>
      <w:pPr>
        <w:pStyle w:val="15"/>
        <w:keepNext w:val="0"/>
        <w:keepLines w:val="0"/>
        <w:pageBreakBefore w:val="0"/>
        <w:widowControl/>
        <w:numPr>
          <w:ilvl w:val="0"/>
          <w:numId w:val="3"/>
        </w:numPr>
        <w:kinsoku/>
        <w:wordWrap/>
        <w:overflowPunct/>
        <w:topLinePunct w:val="0"/>
        <w:autoSpaceDE/>
        <w:autoSpaceDN/>
        <w:bidi w:val="0"/>
        <w:adjustRightInd/>
        <w:snapToGrid/>
        <w:spacing w:line="520" w:lineRule="exact"/>
        <w:ind w:firstLineChars="0"/>
        <w:jc w:val="left"/>
        <w:textAlignment w:val="auto"/>
        <w:rPr>
          <w:rFonts w:ascii="微软雅黑" w:hAnsi="微软雅黑" w:eastAsia="微软雅黑" w:cs="宋体"/>
          <w:b/>
          <w:bCs/>
          <w:kern w:val="0"/>
          <w:sz w:val="28"/>
          <w:szCs w:val="28"/>
        </w:rPr>
      </w:pPr>
      <w:r>
        <w:rPr>
          <w:rFonts w:ascii="微软雅黑" w:hAnsi="微软雅黑" w:eastAsia="微软雅黑" w:cs="宋体"/>
          <w:b/>
          <w:bCs/>
          <w:kern w:val="0"/>
          <w:sz w:val="28"/>
          <w:szCs w:val="28"/>
        </w:rPr>
        <w:t>付款方式</w:t>
      </w:r>
    </w:p>
    <w:p>
      <w:pPr>
        <w:keepNext w:val="0"/>
        <w:keepLines w:val="0"/>
        <w:pageBreakBefore w:val="0"/>
        <w:numPr>
          <w:ilvl w:val="0"/>
          <w:numId w:val="4"/>
        </w:numPr>
        <w:kinsoku/>
        <w:wordWrap/>
        <w:overflowPunct/>
        <w:topLinePunct w:val="0"/>
        <w:autoSpaceDE/>
        <w:autoSpaceDN/>
        <w:bidi w:val="0"/>
        <w:adjustRightInd/>
        <w:snapToGrid/>
        <w:spacing w:line="520" w:lineRule="exact"/>
        <w:textAlignment w:val="auto"/>
        <w:rPr>
          <w:rFonts w:ascii="微软雅黑" w:hAnsi="微软雅黑" w:eastAsia="微软雅黑"/>
          <w:color w:val="000000"/>
          <w:sz w:val="28"/>
          <w:szCs w:val="28"/>
        </w:rPr>
      </w:pPr>
      <w:r>
        <w:rPr>
          <w:rFonts w:hint="eastAsia" w:ascii="微软雅黑" w:hAnsi="微软雅黑" w:eastAsia="微软雅黑"/>
          <w:b/>
          <w:color w:val="000000"/>
          <w:sz w:val="28"/>
          <w:szCs w:val="28"/>
          <w:u w:val="single"/>
        </w:rPr>
        <w:t>合同签订后</w:t>
      </w:r>
      <w:r>
        <w:rPr>
          <w:rFonts w:hint="eastAsia" w:ascii="微软雅黑" w:hAnsi="微软雅黑" w:eastAsia="微软雅黑"/>
          <w:color w:val="000000"/>
          <w:sz w:val="28"/>
          <w:szCs w:val="28"/>
        </w:rPr>
        <w:t>，甲方在收到乙方开具相应金额正式发票后，向乙方支付合同总金额的</w:t>
      </w:r>
      <w:r>
        <w:rPr>
          <w:rFonts w:ascii="微软雅黑" w:hAnsi="微软雅黑" w:eastAsia="微软雅黑"/>
          <w:color w:val="000000"/>
          <w:sz w:val="28"/>
          <w:szCs w:val="28"/>
        </w:rPr>
        <w:t>3</w:t>
      </w:r>
      <w:r>
        <w:rPr>
          <w:rFonts w:hint="eastAsia" w:ascii="微软雅黑" w:hAnsi="微软雅黑" w:eastAsia="微软雅黑"/>
          <w:color w:val="000000"/>
          <w:sz w:val="28"/>
          <w:szCs w:val="28"/>
        </w:rPr>
        <w:t>0%，共计人民币_________元(大写：人民币_________元整)。</w:t>
      </w:r>
    </w:p>
    <w:p>
      <w:pPr>
        <w:keepNext w:val="0"/>
        <w:keepLines w:val="0"/>
        <w:pageBreakBefore w:val="0"/>
        <w:numPr>
          <w:ilvl w:val="0"/>
          <w:numId w:val="4"/>
        </w:numPr>
        <w:kinsoku/>
        <w:wordWrap/>
        <w:overflowPunct/>
        <w:topLinePunct w:val="0"/>
        <w:autoSpaceDE/>
        <w:autoSpaceDN/>
        <w:bidi w:val="0"/>
        <w:adjustRightInd/>
        <w:snapToGrid/>
        <w:spacing w:line="520" w:lineRule="exact"/>
        <w:textAlignment w:val="auto"/>
        <w:rPr>
          <w:rFonts w:ascii="微软雅黑" w:hAnsi="微软雅黑" w:eastAsia="微软雅黑"/>
          <w:color w:val="000000"/>
          <w:sz w:val="28"/>
          <w:szCs w:val="28"/>
        </w:rPr>
      </w:pPr>
      <w:r>
        <w:rPr>
          <w:rFonts w:hint="eastAsia" w:ascii="微软雅黑" w:hAnsi="微软雅黑" w:eastAsia="微软雅黑"/>
          <w:b/>
          <w:bCs/>
          <w:color w:val="000000"/>
          <w:sz w:val="28"/>
          <w:szCs w:val="28"/>
          <w:u w:val="single"/>
        </w:rPr>
        <w:t>完成甲方要求的数据库升级集成服务后并通过验收，乙方提供集成服务记录及开具相应金额正式发票后，</w:t>
      </w:r>
      <w:r>
        <w:rPr>
          <w:rFonts w:hint="eastAsia" w:ascii="微软雅黑" w:hAnsi="微软雅黑" w:eastAsia="微软雅黑"/>
          <w:color w:val="000000"/>
          <w:sz w:val="28"/>
          <w:szCs w:val="28"/>
        </w:rPr>
        <w:t>向乙方支付</w:t>
      </w:r>
      <w:r>
        <w:rPr>
          <w:rFonts w:hint="eastAsia" w:ascii="微软雅黑" w:hAnsi="微软雅黑" w:eastAsia="微软雅黑"/>
          <w:color w:val="000000"/>
          <w:sz w:val="28"/>
          <w:szCs w:val="28"/>
          <w:u w:val="single"/>
        </w:rPr>
        <w:t>合同集成服务及软件许可部分</w:t>
      </w:r>
      <w:r>
        <w:rPr>
          <w:rFonts w:hint="eastAsia" w:ascii="微软雅黑" w:hAnsi="微软雅黑" w:eastAsia="微软雅黑"/>
          <w:color w:val="000000"/>
          <w:sz w:val="28"/>
          <w:szCs w:val="28"/>
        </w:rPr>
        <w:t>金额的6</w:t>
      </w:r>
      <w:r>
        <w:rPr>
          <w:rFonts w:ascii="微软雅黑" w:hAnsi="微软雅黑" w:eastAsia="微软雅黑"/>
          <w:color w:val="000000"/>
          <w:sz w:val="28"/>
          <w:szCs w:val="28"/>
        </w:rPr>
        <w:t>5</w:t>
      </w:r>
      <w:r>
        <w:rPr>
          <w:rFonts w:hint="eastAsia" w:ascii="微软雅黑" w:hAnsi="微软雅黑" w:eastAsia="微软雅黑"/>
          <w:color w:val="000000"/>
          <w:sz w:val="28"/>
          <w:szCs w:val="28"/>
        </w:rPr>
        <w:t>%，共计人民币_________元(大写：人民币_________元整)。</w:t>
      </w:r>
    </w:p>
    <w:p>
      <w:pPr>
        <w:keepNext w:val="0"/>
        <w:keepLines w:val="0"/>
        <w:pageBreakBefore w:val="0"/>
        <w:numPr>
          <w:ilvl w:val="0"/>
          <w:numId w:val="4"/>
        </w:numPr>
        <w:kinsoku/>
        <w:wordWrap/>
        <w:overflowPunct/>
        <w:topLinePunct w:val="0"/>
        <w:autoSpaceDE/>
        <w:autoSpaceDN/>
        <w:bidi w:val="0"/>
        <w:adjustRightInd/>
        <w:snapToGrid/>
        <w:spacing w:line="520" w:lineRule="exact"/>
        <w:textAlignment w:val="auto"/>
        <w:rPr>
          <w:rFonts w:ascii="微软雅黑" w:hAnsi="微软雅黑" w:eastAsia="微软雅黑"/>
          <w:color w:val="000000"/>
          <w:sz w:val="28"/>
          <w:szCs w:val="28"/>
        </w:rPr>
      </w:pPr>
      <w:r>
        <w:rPr>
          <w:rFonts w:hint="eastAsia" w:ascii="微软雅黑" w:hAnsi="微软雅黑" w:eastAsia="微软雅黑"/>
          <w:b/>
          <w:bCs/>
          <w:color w:val="000000"/>
          <w:sz w:val="28"/>
          <w:szCs w:val="28"/>
          <w:u w:val="single"/>
        </w:rPr>
        <w:t>集成服务验收通过后满一年，</w:t>
      </w:r>
      <w:r>
        <w:rPr>
          <w:rFonts w:hint="eastAsia" w:ascii="微软雅黑" w:hAnsi="微软雅黑" w:eastAsia="微软雅黑"/>
          <w:color w:val="000000"/>
          <w:sz w:val="28"/>
          <w:szCs w:val="28"/>
        </w:rPr>
        <w:t>甲方对乙方在服务期内完成任务进行确认并通过，且收到乙方开具相应金额正式发票后，向乙方支付</w:t>
      </w:r>
      <w:r>
        <w:rPr>
          <w:rFonts w:hint="eastAsia" w:ascii="微软雅黑" w:hAnsi="微软雅黑" w:eastAsia="微软雅黑"/>
          <w:color w:val="000000"/>
          <w:sz w:val="28"/>
          <w:szCs w:val="28"/>
          <w:u w:val="single"/>
        </w:rPr>
        <w:t>合同集成服务及软件许可部分</w:t>
      </w:r>
      <w:r>
        <w:rPr>
          <w:rFonts w:hint="eastAsia" w:ascii="微软雅黑" w:hAnsi="微软雅黑" w:eastAsia="微软雅黑"/>
          <w:color w:val="000000"/>
          <w:sz w:val="28"/>
          <w:szCs w:val="28"/>
        </w:rPr>
        <w:t>金额的</w:t>
      </w:r>
      <w:r>
        <w:rPr>
          <w:rFonts w:ascii="微软雅黑" w:hAnsi="微软雅黑" w:eastAsia="微软雅黑"/>
          <w:color w:val="000000"/>
          <w:sz w:val="28"/>
          <w:szCs w:val="28"/>
        </w:rPr>
        <w:t>5</w:t>
      </w:r>
      <w:r>
        <w:rPr>
          <w:rFonts w:hint="eastAsia" w:ascii="微软雅黑" w:hAnsi="微软雅黑" w:eastAsia="微软雅黑"/>
          <w:color w:val="000000"/>
          <w:sz w:val="28"/>
          <w:szCs w:val="28"/>
        </w:rPr>
        <w:t>%，共计人民币_________元(大写：人民币_________元整)。</w:t>
      </w:r>
    </w:p>
    <w:p>
      <w:pPr>
        <w:keepNext w:val="0"/>
        <w:keepLines w:val="0"/>
        <w:pageBreakBefore w:val="0"/>
        <w:numPr>
          <w:ilvl w:val="0"/>
          <w:numId w:val="4"/>
        </w:numPr>
        <w:kinsoku/>
        <w:wordWrap/>
        <w:overflowPunct/>
        <w:topLinePunct w:val="0"/>
        <w:autoSpaceDE/>
        <w:autoSpaceDN/>
        <w:bidi w:val="0"/>
        <w:adjustRightInd/>
        <w:snapToGrid/>
        <w:spacing w:line="520" w:lineRule="exact"/>
        <w:textAlignment w:val="auto"/>
        <w:rPr>
          <w:rFonts w:ascii="微软雅黑" w:hAnsi="微软雅黑" w:eastAsia="微软雅黑"/>
          <w:color w:val="000000"/>
          <w:sz w:val="28"/>
          <w:szCs w:val="28"/>
        </w:rPr>
      </w:pPr>
      <w:r>
        <w:rPr>
          <w:rFonts w:hint="eastAsia" w:ascii="微软雅黑" w:hAnsi="微软雅黑" w:eastAsia="微软雅黑"/>
          <w:b/>
          <w:color w:val="000000"/>
          <w:sz w:val="28"/>
          <w:szCs w:val="28"/>
          <w:u w:val="single"/>
        </w:rPr>
        <w:t>合同所有硬件设备运至甲方指定货运详细地址、开箱合格运转正常，并经最终用户签字验收（加电验收）后</w:t>
      </w:r>
      <w:r>
        <w:rPr>
          <w:rFonts w:hint="eastAsia" w:ascii="微软雅黑" w:hAnsi="微软雅黑" w:eastAsia="微软雅黑"/>
          <w:color w:val="000000"/>
          <w:sz w:val="28"/>
          <w:szCs w:val="28"/>
        </w:rPr>
        <w:t>，甲方在收到乙方开具相应金额正式发票后，向乙方支付至合同硬件部分结算审核价的95%。</w:t>
      </w:r>
    </w:p>
    <w:p>
      <w:pPr>
        <w:keepNext w:val="0"/>
        <w:keepLines w:val="0"/>
        <w:pageBreakBefore w:val="0"/>
        <w:numPr>
          <w:ilvl w:val="0"/>
          <w:numId w:val="4"/>
        </w:numPr>
        <w:kinsoku/>
        <w:wordWrap/>
        <w:overflowPunct/>
        <w:topLinePunct w:val="0"/>
        <w:autoSpaceDE/>
        <w:autoSpaceDN/>
        <w:bidi w:val="0"/>
        <w:adjustRightInd/>
        <w:snapToGrid/>
        <w:spacing w:line="520" w:lineRule="exact"/>
        <w:textAlignment w:val="auto"/>
        <w:rPr>
          <w:rFonts w:ascii="微软雅黑" w:hAnsi="微软雅黑" w:eastAsia="微软雅黑"/>
          <w:color w:val="000000"/>
          <w:sz w:val="28"/>
          <w:szCs w:val="28"/>
        </w:rPr>
      </w:pPr>
      <w:r>
        <w:rPr>
          <w:rFonts w:hint="eastAsia" w:ascii="微软雅黑" w:hAnsi="微软雅黑" w:eastAsia="微软雅黑"/>
          <w:b/>
          <w:color w:val="000000"/>
          <w:sz w:val="28"/>
          <w:szCs w:val="28"/>
          <w:u w:val="single"/>
        </w:rPr>
        <w:t>合同所有硬件设备的保修期满后</w:t>
      </w:r>
      <w:r>
        <w:rPr>
          <w:rFonts w:hint="eastAsia" w:ascii="微软雅黑" w:hAnsi="微软雅黑" w:eastAsia="微软雅黑"/>
          <w:color w:val="000000"/>
          <w:sz w:val="28"/>
          <w:szCs w:val="28"/>
        </w:rPr>
        <w:t>，由甲方对乙方在服务期内应完成任务进行确认并通过，且甲方在收到乙方开具相应金额正式发票后，向乙方支付硬件部分结算审核价的5%。</w:t>
      </w:r>
    </w:p>
    <w:p>
      <w:pPr>
        <w:pStyle w:val="15"/>
        <w:keepNext w:val="0"/>
        <w:keepLines w:val="0"/>
        <w:pageBreakBefore w:val="0"/>
        <w:widowControl/>
        <w:numPr>
          <w:ilvl w:val="0"/>
          <w:numId w:val="3"/>
        </w:numPr>
        <w:kinsoku/>
        <w:wordWrap/>
        <w:overflowPunct/>
        <w:topLinePunct w:val="0"/>
        <w:autoSpaceDE/>
        <w:autoSpaceDN/>
        <w:bidi w:val="0"/>
        <w:adjustRightInd/>
        <w:snapToGrid/>
        <w:spacing w:line="520" w:lineRule="exact"/>
        <w:ind w:firstLineChars="0"/>
        <w:jc w:val="left"/>
        <w:textAlignment w:val="auto"/>
        <w:rPr>
          <w:rFonts w:ascii="微软雅黑" w:hAnsi="微软雅黑" w:eastAsia="微软雅黑" w:cs="宋体"/>
          <w:b/>
          <w:sz w:val="28"/>
          <w:szCs w:val="28"/>
        </w:rPr>
      </w:pPr>
      <w:r>
        <w:rPr>
          <w:rFonts w:hint="eastAsia" w:ascii="微软雅黑" w:hAnsi="微软雅黑" w:eastAsia="微软雅黑" w:cs="宋体"/>
          <w:b/>
          <w:sz w:val="28"/>
          <w:szCs w:val="28"/>
        </w:rPr>
        <w:t>维保期费率</w:t>
      </w:r>
    </w:p>
    <w:p>
      <w:pPr>
        <w:pStyle w:val="15"/>
        <w:keepNext w:val="0"/>
        <w:keepLines w:val="0"/>
        <w:pageBreakBefore w:val="0"/>
        <w:widowControl/>
        <w:kinsoku/>
        <w:wordWrap/>
        <w:overflowPunct/>
        <w:topLinePunct w:val="0"/>
        <w:autoSpaceDE/>
        <w:autoSpaceDN/>
        <w:bidi w:val="0"/>
        <w:adjustRightInd/>
        <w:snapToGrid/>
        <w:spacing w:line="520" w:lineRule="exact"/>
        <w:ind w:left="420" w:firstLine="560"/>
        <w:jc w:val="left"/>
        <w:textAlignment w:val="auto"/>
        <w:rPr>
          <w:rFonts w:hint="eastAsia" w:ascii="微软雅黑" w:hAnsi="微软雅黑" w:eastAsia="微软雅黑"/>
          <w:color w:val="000000"/>
          <w:sz w:val="28"/>
          <w:szCs w:val="28"/>
        </w:rPr>
        <w:sectPr>
          <w:pgSz w:w="11906" w:h="16838"/>
          <w:pgMar w:top="1440" w:right="1800" w:bottom="1440" w:left="1800" w:header="851" w:footer="992" w:gutter="0"/>
          <w:cols w:space="425" w:num="1"/>
          <w:docGrid w:type="lines" w:linePitch="312" w:charSpace="0"/>
        </w:sectPr>
      </w:pPr>
      <w:r>
        <w:rPr>
          <w:rFonts w:hint="eastAsia" w:ascii="微软雅黑" w:hAnsi="微软雅黑" w:eastAsia="微软雅黑"/>
          <w:color w:val="000000"/>
          <w:sz w:val="28"/>
          <w:szCs w:val="28"/>
        </w:rPr>
        <w:t>超过免费维护期的，双方另行协商签订维护合同，每年硬件的维护报价不超过合同硬件部分金额的5%。</w:t>
      </w:r>
    </w:p>
    <w:p>
      <w:pPr>
        <w:spacing w:line="360" w:lineRule="auto"/>
        <w:ind w:left="-1" w:leftChars="-67" w:hanging="140" w:hangingChars="50"/>
        <w:rPr>
          <w:rFonts w:ascii="微软雅黑" w:hAnsi="微软雅黑" w:eastAsia="微软雅黑"/>
          <w:b/>
          <w:sz w:val="28"/>
          <w:szCs w:val="28"/>
        </w:rPr>
      </w:pPr>
      <w:r>
        <w:rPr>
          <w:rFonts w:hint="eastAsia" w:ascii="微软雅黑" w:hAnsi="微软雅黑" w:eastAsia="微软雅黑"/>
          <w:b/>
          <w:sz w:val="28"/>
          <w:szCs w:val="28"/>
        </w:rPr>
        <w:t>附件2</w:t>
      </w:r>
    </w:p>
    <w:p>
      <w:pPr>
        <w:spacing w:line="360" w:lineRule="auto"/>
        <w:ind w:left="19" w:leftChars="-67" w:hanging="160" w:hangingChars="50"/>
        <w:jc w:val="center"/>
        <w:rPr>
          <w:rFonts w:ascii="微软雅黑" w:hAnsi="微软雅黑" w:eastAsia="微软雅黑"/>
          <w:b/>
          <w:sz w:val="32"/>
          <w:szCs w:val="32"/>
        </w:rPr>
      </w:pPr>
      <w:r>
        <w:rPr>
          <w:rFonts w:ascii="微软雅黑" w:hAnsi="微软雅黑" w:eastAsia="微软雅黑"/>
          <w:b/>
          <w:sz w:val="32"/>
          <w:szCs w:val="32"/>
        </w:rPr>
        <w:t>报名资料要求</w:t>
      </w:r>
    </w:p>
    <w:tbl>
      <w:tblPr>
        <w:tblStyle w:val="7"/>
        <w:tblW w:w="100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9"/>
        <w:gridCol w:w="1285"/>
        <w:gridCol w:w="3992"/>
        <w:gridCol w:w="40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1" w:hRule="atLeast"/>
          <w:jc w:val="center"/>
        </w:trPr>
        <w:tc>
          <w:tcPr>
            <w:tcW w:w="679" w:type="dxa"/>
          </w:tcPr>
          <w:p>
            <w:pPr>
              <w:spacing w:line="360" w:lineRule="auto"/>
              <w:jc w:val="center"/>
              <w:rPr>
                <w:rFonts w:ascii="微软雅黑" w:hAnsi="微软雅黑" w:eastAsia="微软雅黑"/>
                <w:b/>
                <w:szCs w:val="21"/>
              </w:rPr>
            </w:pPr>
            <w:r>
              <w:rPr>
                <w:rFonts w:hint="eastAsia" w:ascii="微软雅黑" w:hAnsi="微软雅黑" w:eastAsia="微软雅黑"/>
                <w:b/>
                <w:szCs w:val="21"/>
              </w:rPr>
              <w:t>文件</w:t>
            </w:r>
          </w:p>
        </w:tc>
        <w:tc>
          <w:tcPr>
            <w:tcW w:w="1285" w:type="dxa"/>
          </w:tcPr>
          <w:p>
            <w:pPr>
              <w:spacing w:line="360" w:lineRule="auto"/>
              <w:jc w:val="center"/>
              <w:rPr>
                <w:rFonts w:ascii="微软雅黑" w:hAnsi="微软雅黑" w:eastAsia="微软雅黑"/>
                <w:b/>
                <w:szCs w:val="21"/>
              </w:rPr>
            </w:pPr>
            <w:r>
              <w:rPr>
                <w:rFonts w:hint="eastAsia" w:ascii="微软雅黑" w:hAnsi="微软雅黑" w:eastAsia="微软雅黑"/>
                <w:b/>
                <w:szCs w:val="21"/>
              </w:rPr>
              <w:t>类型</w:t>
            </w:r>
          </w:p>
        </w:tc>
        <w:tc>
          <w:tcPr>
            <w:tcW w:w="3992" w:type="dxa"/>
          </w:tcPr>
          <w:p>
            <w:pPr>
              <w:spacing w:line="360" w:lineRule="auto"/>
              <w:jc w:val="center"/>
              <w:rPr>
                <w:rFonts w:ascii="微软雅黑" w:hAnsi="微软雅黑" w:eastAsia="微软雅黑"/>
                <w:b/>
                <w:szCs w:val="21"/>
              </w:rPr>
            </w:pPr>
            <w:r>
              <w:rPr>
                <w:rFonts w:hint="eastAsia" w:ascii="微软雅黑" w:hAnsi="微软雅黑" w:eastAsia="微软雅黑"/>
                <w:b/>
                <w:szCs w:val="21"/>
              </w:rPr>
              <w:t>内容</w:t>
            </w:r>
          </w:p>
        </w:tc>
        <w:tc>
          <w:tcPr>
            <w:tcW w:w="4075" w:type="dxa"/>
          </w:tcPr>
          <w:p>
            <w:pPr>
              <w:spacing w:line="360" w:lineRule="auto"/>
              <w:jc w:val="center"/>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8" w:hRule="exact"/>
          <w:jc w:val="center"/>
        </w:trPr>
        <w:tc>
          <w:tcPr>
            <w:tcW w:w="679" w:type="dxa"/>
            <w:vMerge w:val="restart"/>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1</w:t>
            </w:r>
          </w:p>
        </w:tc>
        <w:tc>
          <w:tcPr>
            <w:tcW w:w="1285" w:type="dxa"/>
            <w:vMerge w:val="restart"/>
            <w:vAlign w:val="center"/>
          </w:tcPr>
          <w:p>
            <w:pPr>
              <w:spacing w:line="360" w:lineRule="auto"/>
              <w:jc w:val="center"/>
              <w:rPr>
                <w:rFonts w:ascii="微软雅黑" w:hAnsi="微软雅黑" w:eastAsia="微软雅黑"/>
                <w:b/>
                <w:szCs w:val="21"/>
              </w:rPr>
            </w:pPr>
            <w:r>
              <w:rPr>
                <w:rFonts w:hint="eastAsia" w:ascii="微软雅黑" w:hAnsi="微软雅黑" w:eastAsia="微软雅黑"/>
                <w:szCs w:val="21"/>
              </w:rPr>
              <w:t>报价资料、</w:t>
            </w:r>
            <w:r>
              <w:rPr>
                <w:rFonts w:ascii="微软雅黑" w:hAnsi="微软雅黑" w:eastAsia="微软雅黑" w:cs="宋体"/>
                <w:bCs/>
                <w:kern w:val="0"/>
                <w:szCs w:val="21"/>
              </w:rPr>
              <w:t>后续维护服务</w:t>
            </w:r>
          </w:p>
        </w:tc>
        <w:tc>
          <w:tcPr>
            <w:tcW w:w="3992" w:type="dxa"/>
            <w:vAlign w:val="center"/>
          </w:tcPr>
          <w:p>
            <w:pPr>
              <w:rPr>
                <w:rFonts w:ascii="微软雅黑" w:hAnsi="微软雅黑" w:eastAsia="微软雅黑"/>
                <w:b/>
                <w:szCs w:val="21"/>
              </w:rPr>
            </w:pPr>
            <w:r>
              <w:rPr>
                <w:rFonts w:ascii="微软雅黑" w:hAnsi="微软雅黑" w:eastAsia="微软雅黑" w:cs="宋体"/>
                <w:kern w:val="0"/>
                <w:szCs w:val="21"/>
              </w:rPr>
              <w:t>1</w:t>
            </w:r>
            <w:r>
              <w:rPr>
                <w:rFonts w:hint="eastAsia" w:ascii="微软雅黑" w:hAnsi="微软雅黑" w:eastAsia="微软雅黑" w:cs="宋体"/>
                <w:kern w:val="0"/>
                <w:szCs w:val="21"/>
              </w:rPr>
              <w:t>.</w:t>
            </w:r>
            <w:r>
              <w:rPr>
                <w:rFonts w:ascii="微软雅黑" w:hAnsi="微软雅黑" w:eastAsia="微软雅黑" w:cs="宋体"/>
                <w:kern w:val="0"/>
                <w:szCs w:val="21"/>
              </w:rPr>
              <w:t>项目整体报价</w:t>
            </w:r>
            <w:r>
              <w:rPr>
                <w:rFonts w:hint="eastAsia" w:ascii="微软雅黑" w:hAnsi="微软雅黑" w:eastAsia="微软雅黑"/>
                <w:szCs w:val="21"/>
              </w:rPr>
              <w:t>及各功能点的响应情况和明细报价；</w:t>
            </w:r>
          </w:p>
        </w:tc>
        <w:tc>
          <w:tcPr>
            <w:tcW w:w="4075" w:type="dxa"/>
            <w:vMerge w:val="restart"/>
          </w:tcPr>
          <w:p>
            <w:pPr>
              <w:spacing w:line="500" w:lineRule="exact"/>
              <w:rPr>
                <w:rFonts w:ascii="微软雅黑" w:hAnsi="微软雅黑" w:eastAsia="微软雅黑"/>
                <w:szCs w:val="21"/>
              </w:rPr>
            </w:pPr>
            <w:r>
              <w:rPr>
                <w:rFonts w:hint="eastAsia" w:ascii="微软雅黑" w:hAnsi="微软雅黑" w:eastAsia="微软雅黑"/>
                <w:szCs w:val="21"/>
              </w:rPr>
              <w:t>（1）一份盖章扫描版，一份可编辑的WORD版或excel版；</w:t>
            </w:r>
          </w:p>
          <w:p>
            <w:pPr>
              <w:spacing w:line="500" w:lineRule="exact"/>
              <w:rPr>
                <w:rFonts w:ascii="微软雅黑" w:hAnsi="微软雅黑" w:eastAsia="微软雅黑"/>
                <w:szCs w:val="21"/>
              </w:rPr>
            </w:pPr>
            <w:r>
              <w:rPr>
                <w:rFonts w:hint="eastAsia" w:ascii="微软雅黑" w:hAnsi="微软雅黑" w:eastAsia="微软雅黑"/>
                <w:szCs w:val="21"/>
              </w:rPr>
              <w:t>（2）报价函扫描版请加盖贵司公章；</w:t>
            </w:r>
          </w:p>
          <w:p>
            <w:pPr>
              <w:spacing w:line="500" w:lineRule="exact"/>
              <w:rPr>
                <w:rFonts w:ascii="微软雅黑" w:hAnsi="微软雅黑" w:eastAsia="微软雅黑"/>
                <w:szCs w:val="21"/>
              </w:rPr>
            </w:pPr>
            <w:r>
              <w:rPr>
                <w:rFonts w:hint="eastAsia" w:ascii="微软雅黑" w:hAnsi="微软雅黑" w:eastAsia="微软雅黑"/>
                <w:szCs w:val="21"/>
              </w:rPr>
              <w:t>（3）相关售后质量及服务承诺。</w:t>
            </w:r>
          </w:p>
          <w:p>
            <w:pPr>
              <w:spacing w:line="500" w:lineRule="exact"/>
              <w:rPr>
                <w:rFonts w:ascii="微软雅黑" w:hAnsi="微软雅黑" w:eastAsia="微软雅黑"/>
                <w:szCs w:val="21"/>
              </w:rPr>
            </w:pPr>
            <w:r>
              <w:rPr>
                <w:rFonts w:hint="eastAsia" w:ascii="微软雅黑" w:hAnsi="微软雅黑" w:eastAsia="微软雅黑"/>
                <w:szCs w:val="21"/>
              </w:rPr>
              <w:t>（4）硬件清单明细报价需按各推荐品牌分别报价。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exact"/>
          <w:jc w:val="center"/>
        </w:trPr>
        <w:tc>
          <w:tcPr>
            <w:tcW w:w="679" w:type="dxa"/>
            <w:vMerge w:val="continue"/>
          </w:tcPr>
          <w:p>
            <w:pPr>
              <w:spacing w:line="360" w:lineRule="auto"/>
              <w:rPr>
                <w:rFonts w:ascii="微软雅黑" w:hAnsi="微软雅黑" w:eastAsia="微软雅黑"/>
                <w:szCs w:val="21"/>
              </w:rPr>
            </w:pPr>
          </w:p>
        </w:tc>
        <w:tc>
          <w:tcPr>
            <w:tcW w:w="1285" w:type="dxa"/>
            <w:vMerge w:val="continue"/>
          </w:tcPr>
          <w:p>
            <w:pPr>
              <w:spacing w:line="360" w:lineRule="auto"/>
              <w:rPr>
                <w:rFonts w:ascii="微软雅黑" w:hAnsi="微软雅黑" w:eastAsia="微软雅黑"/>
                <w:b/>
                <w:szCs w:val="21"/>
              </w:rPr>
            </w:pPr>
          </w:p>
        </w:tc>
        <w:tc>
          <w:tcPr>
            <w:tcW w:w="3992" w:type="dxa"/>
            <w:vAlign w:val="center"/>
          </w:tcPr>
          <w:p>
            <w:pPr>
              <w:spacing w:line="360" w:lineRule="auto"/>
              <w:rPr>
                <w:rFonts w:ascii="微软雅黑" w:hAnsi="微软雅黑" w:eastAsia="微软雅黑" w:cs="宋体"/>
                <w:kern w:val="0"/>
                <w:szCs w:val="21"/>
              </w:rPr>
            </w:pPr>
            <w:r>
              <w:rPr>
                <w:rFonts w:hint="eastAsia" w:ascii="微软雅黑" w:hAnsi="微软雅黑" w:eastAsia="微软雅黑" w:cs="宋体"/>
                <w:kern w:val="0"/>
                <w:szCs w:val="21"/>
              </w:rPr>
              <w:t>2.</w:t>
            </w:r>
            <w:r>
              <w:rPr>
                <w:rFonts w:ascii="微软雅黑" w:hAnsi="微软雅黑" w:eastAsia="微软雅黑" w:cs="宋体"/>
                <w:kern w:val="0"/>
                <w:szCs w:val="21"/>
              </w:rPr>
              <w:t>免费维保期</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exact"/>
          <w:jc w:val="center"/>
        </w:trPr>
        <w:tc>
          <w:tcPr>
            <w:tcW w:w="679" w:type="dxa"/>
            <w:vMerge w:val="continue"/>
          </w:tcPr>
          <w:p>
            <w:pPr>
              <w:spacing w:line="360" w:lineRule="auto"/>
              <w:rPr>
                <w:rFonts w:ascii="微软雅黑" w:hAnsi="微软雅黑" w:eastAsia="微软雅黑"/>
                <w:szCs w:val="21"/>
              </w:rPr>
            </w:pPr>
          </w:p>
        </w:tc>
        <w:tc>
          <w:tcPr>
            <w:tcW w:w="1285" w:type="dxa"/>
            <w:vMerge w:val="continue"/>
          </w:tcPr>
          <w:p>
            <w:pPr>
              <w:spacing w:line="360" w:lineRule="auto"/>
              <w:rPr>
                <w:rFonts w:ascii="微软雅黑" w:hAnsi="微软雅黑" w:eastAsia="微软雅黑"/>
                <w:b/>
                <w:szCs w:val="21"/>
              </w:rPr>
            </w:pPr>
          </w:p>
        </w:tc>
        <w:tc>
          <w:tcPr>
            <w:tcW w:w="3992" w:type="dxa"/>
            <w:vAlign w:val="center"/>
          </w:tcPr>
          <w:p>
            <w:pPr>
              <w:spacing w:line="360" w:lineRule="auto"/>
              <w:rPr>
                <w:rFonts w:ascii="微软雅黑" w:hAnsi="微软雅黑" w:eastAsia="微软雅黑" w:cs="宋体"/>
                <w:kern w:val="0"/>
                <w:szCs w:val="21"/>
              </w:rPr>
            </w:pPr>
            <w:r>
              <w:rPr>
                <w:rFonts w:hint="eastAsia" w:ascii="微软雅黑" w:hAnsi="微软雅黑" w:eastAsia="微软雅黑" w:cs="宋体"/>
                <w:kern w:val="0"/>
                <w:szCs w:val="21"/>
              </w:rPr>
              <w:t>3.</w:t>
            </w:r>
            <w:r>
              <w:rPr>
                <w:rFonts w:ascii="微软雅黑" w:hAnsi="微软雅黑" w:eastAsia="微软雅黑" w:cs="宋体"/>
                <w:kern w:val="0"/>
                <w:szCs w:val="21"/>
              </w:rPr>
              <w:t>免费维保期后维保费率</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7" w:hRule="exact"/>
          <w:jc w:val="center"/>
        </w:trPr>
        <w:tc>
          <w:tcPr>
            <w:tcW w:w="679" w:type="dxa"/>
            <w:vMerge w:val="continue"/>
          </w:tcPr>
          <w:p>
            <w:pPr>
              <w:spacing w:line="360" w:lineRule="auto"/>
              <w:rPr>
                <w:rFonts w:ascii="微软雅黑" w:hAnsi="微软雅黑" w:eastAsia="微软雅黑"/>
                <w:szCs w:val="21"/>
              </w:rPr>
            </w:pPr>
          </w:p>
        </w:tc>
        <w:tc>
          <w:tcPr>
            <w:tcW w:w="1285" w:type="dxa"/>
            <w:vMerge w:val="continue"/>
          </w:tcPr>
          <w:p>
            <w:pPr>
              <w:spacing w:line="360" w:lineRule="auto"/>
              <w:rPr>
                <w:rFonts w:ascii="微软雅黑" w:hAnsi="微软雅黑" w:eastAsia="微软雅黑"/>
                <w:b/>
                <w:szCs w:val="21"/>
              </w:rPr>
            </w:pPr>
          </w:p>
        </w:tc>
        <w:tc>
          <w:tcPr>
            <w:tcW w:w="3992" w:type="dxa"/>
            <w:vAlign w:val="center"/>
          </w:tcPr>
          <w:p>
            <w:pPr>
              <w:spacing w:line="360" w:lineRule="auto"/>
              <w:rPr>
                <w:rFonts w:ascii="微软雅黑" w:hAnsi="微软雅黑" w:eastAsia="微软雅黑" w:cs="宋体"/>
                <w:kern w:val="0"/>
                <w:szCs w:val="21"/>
              </w:rPr>
            </w:pPr>
            <w:r>
              <w:rPr>
                <w:rFonts w:hint="eastAsia" w:ascii="微软雅黑" w:hAnsi="微软雅黑" w:eastAsia="微软雅黑" w:cs="宋体"/>
                <w:kern w:val="0"/>
                <w:szCs w:val="21"/>
              </w:rPr>
              <w:t>4.</w:t>
            </w:r>
            <w:r>
              <w:rPr>
                <w:rFonts w:ascii="微软雅黑" w:hAnsi="微软雅黑" w:eastAsia="微软雅黑" w:cs="宋体"/>
                <w:kern w:val="0"/>
                <w:szCs w:val="21"/>
              </w:rPr>
              <w:t>本地维护团队</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exact"/>
          <w:jc w:val="center"/>
        </w:trPr>
        <w:tc>
          <w:tcPr>
            <w:tcW w:w="679" w:type="dxa"/>
            <w:vMerge w:val="continue"/>
          </w:tcPr>
          <w:p>
            <w:pPr>
              <w:spacing w:line="360" w:lineRule="auto"/>
              <w:rPr>
                <w:rFonts w:ascii="微软雅黑" w:hAnsi="微软雅黑" w:eastAsia="微软雅黑"/>
                <w:szCs w:val="21"/>
              </w:rPr>
            </w:pPr>
          </w:p>
        </w:tc>
        <w:tc>
          <w:tcPr>
            <w:tcW w:w="1285" w:type="dxa"/>
            <w:vMerge w:val="continue"/>
          </w:tcPr>
          <w:p>
            <w:pPr>
              <w:spacing w:line="360" w:lineRule="auto"/>
              <w:rPr>
                <w:rFonts w:ascii="微软雅黑" w:hAnsi="微软雅黑" w:eastAsia="微软雅黑"/>
                <w:b/>
                <w:szCs w:val="21"/>
              </w:rPr>
            </w:pPr>
          </w:p>
        </w:tc>
        <w:tc>
          <w:tcPr>
            <w:tcW w:w="3992" w:type="dxa"/>
            <w:vAlign w:val="center"/>
          </w:tcPr>
          <w:p>
            <w:pPr>
              <w:spacing w:line="360" w:lineRule="auto"/>
              <w:rPr>
                <w:rFonts w:ascii="微软雅黑" w:hAnsi="微软雅黑" w:eastAsia="微软雅黑" w:cs="宋体"/>
                <w:kern w:val="0"/>
                <w:szCs w:val="21"/>
              </w:rPr>
            </w:pPr>
            <w:r>
              <w:rPr>
                <w:rFonts w:hint="eastAsia" w:ascii="微软雅黑" w:hAnsi="微软雅黑" w:eastAsia="微软雅黑" w:cs="宋体"/>
                <w:kern w:val="0"/>
                <w:szCs w:val="21"/>
              </w:rPr>
              <w:t>5.</w:t>
            </w:r>
            <w:r>
              <w:rPr>
                <w:rFonts w:hint="eastAsia" w:ascii="微软雅黑" w:hAnsi="微软雅黑" w:eastAsia="微软雅黑"/>
                <w:szCs w:val="21"/>
              </w:rPr>
              <w:t>公司项目联系人及联系方式。</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exact"/>
          <w:jc w:val="center"/>
        </w:trPr>
        <w:tc>
          <w:tcPr>
            <w:tcW w:w="679" w:type="dxa"/>
            <w:vMerge w:val="restart"/>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2</w:t>
            </w:r>
          </w:p>
        </w:tc>
        <w:tc>
          <w:tcPr>
            <w:tcW w:w="1285" w:type="dxa"/>
            <w:vMerge w:val="restart"/>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公司资质</w:t>
            </w: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1</w:t>
            </w:r>
            <w:r>
              <w:rPr>
                <w:rFonts w:hint="eastAsia" w:ascii="微软雅黑" w:hAnsi="微软雅黑" w:eastAsia="微软雅黑" w:cs="宋体"/>
                <w:kern w:val="0"/>
                <w:szCs w:val="21"/>
              </w:rPr>
              <w:t>.</w:t>
            </w:r>
            <w:r>
              <w:rPr>
                <w:rFonts w:ascii="微软雅黑" w:hAnsi="微软雅黑" w:eastAsia="微软雅黑" w:cs="宋体"/>
                <w:kern w:val="0"/>
                <w:szCs w:val="21"/>
              </w:rPr>
              <w:t>规模实力</w:t>
            </w:r>
            <w:r>
              <w:rPr>
                <w:rFonts w:hint="eastAsia" w:ascii="微软雅黑" w:hAnsi="微软雅黑" w:eastAsia="微软雅黑" w:cs="宋体"/>
                <w:kern w:val="0"/>
                <w:szCs w:val="21"/>
              </w:rPr>
              <w:t>；</w:t>
            </w:r>
          </w:p>
        </w:tc>
        <w:tc>
          <w:tcPr>
            <w:tcW w:w="4075" w:type="dxa"/>
            <w:vMerge w:val="restart"/>
          </w:tcPr>
          <w:p>
            <w:pPr>
              <w:spacing w:line="360" w:lineRule="auto"/>
              <w:rPr>
                <w:rFonts w:ascii="微软雅黑" w:hAnsi="微软雅黑" w:eastAsia="微软雅黑"/>
                <w:szCs w:val="21"/>
              </w:rPr>
            </w:pPr>
            <w:r>
              <w:rPr>
                <w:rFonts w:hint="eastAsia" w:ascii="微软雅黑" w:hAnsi="微软雅黑" w:eastAsia="微软雅黑"/>
                <w:szCs w:val="21"/>
              </w:rPr>
              <w:t>（1）一份可编辑的WORD版或excel版;</w:t>
            </w:r>
          </w:p>
          <w:p>
            <w:pPr>
              <w:spacing w:line="360" w:lineRule="auto"/>
              <w:rPr>
                <w:rFonts w:ascii="微软雅黑" w:hAnsi="微软雅黑" w:eastAsia="微软雅黑"/>
                <w:szCs w:val="21"/>
              </w:rPr>
            </w:pPr>
            <w:r>
              <w:rPr>
                <w:rFonts w:hint="eastAsia" w:ascii="微软雅黑" w:hAnsi="微软雅黑" w:eastAsia="微软雅黑"/>
                <w:szCs w:val="21"/>
              </w:rPr>
              <w:t>（2）代理公司需提供授权代理资质；</w:t>
            </w:r>
          </w:p>
          <w:p>
            <w:pPr>
              <w:spacing w:line="360" w:lineRule="auto"/>
              <w:rPr>
                <w:rFonts w:ascii="微软雅黑" w:hAnsi="微软雅黑" w:eastAsia="微软雅黑"/>
                <w:szCs w:val="21"/>
              </w:rPr>
            </w:pPr>
            <w:r>
              <w:rPr>
                <w:rFonts w:hint="eastAsia" w:ascii="微软雅黑" w:hAnsi="微软雅黑" w:eastAsia="微软雅黑"/>
                <w:szCs w:val="21"/>
              </w:rPr>
              <w:t>（3）贵司的营业执照、税务登记证、组织机构代码证。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7" w:hRule="exact"/>
          <w:jc w:val="center"/>
        </w:trPr>
        <w:tc>
          <w:tcPr>
            <w:tcW w:w="679" w:type="dxa"/>
            <w:vMerge w:val="continue"/>
          </w:tcPr>
          <w:p>
            <w:pPr>
              <w:spacing w:line="360" w:lineRule="auto"/>
              <w:rPr>
                <w:rFonts w:ascii="微软雅黑" w:hAnsi="微软雅黑" w:eastAsia="微软雅黑"/>
                <w:szCs w:val="21"/>
              </w:rPr>
            </w:pPr>
          </w:p>
        </w:tc>
        <w:tc>
          <w:tcPr>
            <w:tcW w:w="1285" w:type="dxa"/>
            <w:vMerge w:val="continue"/>
          </w:tcPr>
          <w:p>
            <w:pPr>
              <w:spacing w:line="360" w:lineRule="auto"/>
              <w:rPr>
                <w:rFonts w:ascii="微软雅黑" w:hAnsi="微软雅黑" w:eastAsia="微软雅黑"/>
                <w:b/>
                <w:szCs w:val="21"/>
              </w:rPr>
            </w:pP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2</w:t>
            </w:r>
            <w:r>
              <w:rPr>
                <w:rFonts w:hint="eastAsia" w:ascii="微软雅黑" w:hAnsi="微软雅黑" w:eastAsia="微软雅黑" w:cs="宋体"/>
                <w:kern w:val="0"/>
                <w:szCs w:val="21"/>
              </w:rPr>
              <w:t>.</w:t>
            </w:r>
            <w:r>
              <w:rPr>
                <w:rFonts w:ascii="微软雅黑" w:hAnsi="微软雅黑" w:eastAsia="微软雅黑" w:cs="宋体"/>
                <w:kern w:val="0"/>
                <w:szCs w:val="21"/>
              </w:rPr>
              <w:t>研发团队力量</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exact"/>
          <w:jc w:val="center"/>
        </w:trPr>
        <w:tc>
          <w:tcPr>
            <w:tcW w:w="679" w:type="dxa"/>
            <w:vMerge w:val="continue"/>
          </w:tcPr>
          <w:p>
            <w:pPr>
              <w:spacing w:line="360" w:lineRule="auto"/>
              <w:rPr>
                <w:rFonts w:ascii="微软雅黑" w:hAnsi="微软雅黑" w:eastAsia="微软雅黑"/>
                <w:szCs w:val="21"/>
              </w:rPr>
            </w:pPr>
          </w:p>
        </w:tc>
        <w:tc>
          <w:tcPr>
            <w:tcW w:w="1285" w:type="dxa"/>
            <w:vMerge w:val="continue"/>
          </w:tcPr>
          <w:p>
            <w:pPr>
              <w:spacing w:line="360" w:lineRule="auto"/>
              <w:rPr>
                <w:rFonts w:ascii="微软雅黑" w:hAnsi="微软雅黑" w:eastAsia="微软雅黑"/>
                <w:b/>
                <w:szCs w:val="21"/>
              </w:rPr>
            </w:pP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3</w:t>
            </w:r>
            <w:r>
              <w:rPr>
                <w:rFonts w:hint="eastAsia" w:ascii="微软雅黑" w:hAnsi="微软雅黑" w:eastAsia="微软雅黑" w:cs="宋体"/>
                <w:kern w:val="0"/>
                <w:szCs w:val="21"/>
              </w:rPr>
              <w:t>.</w:t>
            </w:r>
            <w:r>
              <w:rPr>
                <w:rFonts w:ascii="微软雅黑" w:hAnsi="微软雅黑" w:eastAsia="微软雅黑" w:cs="宋体"/>
                <w:kern w:val="0"/>
                <w:szCs w:val="21"/>
              </w:rPr>
              <w:t>行业专注度（专业背景）</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5" w:hRule="exact"/>
          <w:jc w:val="center"/>
        </w:trPr>
        <w:tc>
          <w:tcPr>
            <w:tcW w:w="679" w:type="dxa"/>
            <w:vMerge w:val="continue"/>
          </w:tcPr>
          <w:p>
            <w:pPr>
              <w:spacing w:line="360" w:lineRule="auto"/>
              <w:rPr>
                <w:rFonts w:ascii="微软雅黑" w:hAnsi="微软雅黑" w:eastAsia="微软雅黑"/>
                <w:szCs w:val="21"/>
              </w:rPr>
            </w:pPr>
          </w:p>
        </w:tc>
        <w:tc>
          <w:tcPr>
            <w:tcW w:w="1285" w:type="dxa"/>
            <w:vMerge w:val="continue"/>
          </w:tcPr>
          <w:p>
            <w:pPr>
              <w:spacing w:line="360" w:lineRule="auto"/>
              <w:rPr>
                <w:rFonts w:ascii="微软雅黑" w:hAnsi="微软雅黑" w:eastAsia="微软雅黑"/>
                <w:b/>
                <w:szCs w:val="21"/>
              </w:rPr>
            </w:pP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4</w:t>
            </w:r>
            <w:r>
              <w:rPr>
                <w:rFonts w:hint="eastAsia" w:ascii="微软雅黑" w:hAnsi="微软雅黑" w:eastAsia="微软雅黑" w:cs="宋体"/>
                <w:kern w:val="0"/>
                <w:szCs w:val="21"/>
              </w:rPr>
              <w:t>.</w:t>
            </w:r>
            <w:r>
              <w:rPr>
                <w:rFonts w:ascii="微软雅黑" w:hAnsi="微软雅黑" w:eastAsia="微软雅黑" w:cs="宋体"/>
                <w:kern w:val="0"/>
                <w:szCs w:val="21"/>
              </w:rPr>
              <w:t>从业年限</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exact"/>
          <w:jc w:val="center"/>
        </w:trPr>
        <w:tc>
          <w:tcPr>
            <w:tcW w:w="679" w:type="dxa"/>
            <w:vMerge w:val="restart"/>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3</w:t>
            </w:r>
          </w:p>
        </w:tc>
        <w:tc>
          <w:tcPr>
            <w:tcW w:w="1285" w:type="dxa"/>
            <w:vMerge w:val="restart"/>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实施方案、实施周期</w:t>
            </w: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1</w:t>
            </w:r>
            <w:r>
              <w:rPr>
                <w:rFonts w:hint="eastAsia" w:ascii="微软雅黑" w:hAnsi="微软雅黑" w:eastAsia="微软雅黑" w:cs="宋体"/>
                <w:kern w:val="0"/>
                <w:szCs w:val="21"/>
              </w:rPr>
              <w:t>.</w:t>
            </w:r>
            <w:r>
              <w:rPr>
                <w:rFonts w:ascii="微软雅黑" w:hAnsi="微软雅黑" w:eastAsia="微软雅黑" w:cs="宋体"/>
                <w:kern w:val="0"/>
                <w:szCs w:val="21"/>
              </w:rPr>
              <w:t>产品功能、完整性</w:t>
            </w:r>
            <w:r>
              <w:rPr>
                <w:rFonts w:hint="eastAsia" w:ascii="微软雅黑" w:hAnsi="微软雅黑" w:eastAsia="微软雅黑" w:cs="宋体"/>
                <w:kern w:val="0"/>
                <w:szCs w:val="21"/>
              </w:rPr>
              <w:t>；</w:t>
            </w:r>
          </w:p>
        </w:tc>
        <w:tc>
          <w:tcPr>
            <w:tcW w:w="4075" w:type="dxa"/>
            <w:vMerge w:val="restart"/>
          </w:tcPr>
          <w:p>
            <w:pPr>
              <w:spacing w:line="360" w:lineRule="auto"/>
              <w:rPr>
                <w:rFonts w:ascii="微软雅黑" w:hAnsi="微软雅黑" w:eastAsia="微软雅黑"/>
                <w:szCs w:val="21"/>
              </w:rPr>
            </w:pPr>
            <w:r>
              <w:rPr>
                <w:rFonts w:hint="eastAsia" w:ascii="微软雅黑" w:hAnsi="微软雅黑" w:eastAsia="微软雅黑"/>
                <w:szCs w:val="21"/>
              </w:rPr>
              <w:t>（1）一份可编辑的WORD版或excel版;</w:t>
            </w:r>
          </w:p>
          <w:p>
            <w:pPr>
              <w:spacing w:line="360" w:lineRule="auto"/>
              <w:rPr>
                <w:rFonts w:ascii="微软雅黑" w:hAnsi="微软雅黑" w:eastAsia="微软雅黑"/>
                <w:b/>
                <w:szCs w:val="21"/>
              </w:rPr>
            </w:pPr>
            <w:r>
              <w:rPr>
                <w:rFonts w:hint="eastAsia" w:ascii="微软雅黑" w:hAnsi="微软雅黑" w:eastAsia="微软雅黑"/>
                <w:szCs w:val="21"/>
              </w:rPr>
              <w:t>（2）项目实施具体方案、实施周期。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exact"/>
          <w:jc w:val="center"/>
        </w:trPr>
        <w:tc>
          <w:tcPr>
            <w:tcW w:w="679" w:type="dxa"/>
            <w:vMerge w:val="continue"/>
            <w:vAlign w:val="center"/>
          </w:tcPr>
          <w:p>
            <w:pPr>
              <w:spacing w:line="360" w:lineRule="auto"/>
              <w:jc w:val="center"/>
              <w:rPr>
                <w:rFonts w:ascii="微软雅黑" w:hAnsi="微软雅黑" w:eastAsia="微软雅黑"/>
                <w:szCs w:val="21"/>
              </w:rPr>
            </w:pPr>
          </w:p>
        </w:tc>
        <w:tc>
          <w:tcPr>
            <w:tcW w:w="1285" w:type="dxa"/>
            <w:vMerge w:val="continue"/>
            <w:vAlign w:val="center"/>
          </w:tcPr>
          <w:p>
            <w:pPr>
              <w:spacing w:line="360" w:lineRule="auto"/>
              <w:jc w:val="center"/>
              <w:rPr>
                <w:rFonts w:ascii="微软雅黑" w:hAnsi="微软雅黑" w:eastAsia="微软雅黑"/>
                <w:szCs w:val="21"/>
              </w:rPr>
            </w:pP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2</w:t>
            </w:r>
            <w:r>
              <w:rPr>
                <w:rFonts w:hint="eastAsia" w:ascii="微软雅黑" w:hAnsi="微软雅黑" w:eastAsia="微软雅黑" w:cs="宋体"/>
                <w:kern w:val="0"/>
                <w:szCs w:val="21"/>
              </w:rPr>
              <w:t>.</w:t>
            </w:r>
            <w:r>
              <w:rPr>
                <w:rFonts w:ascii="微软雅黑" w:hAnsi="微软雅黑" w:eastAsia="微软雅黑" w:cs="宋体"/>
                <w:kern w:val="0"/>
                <w:szCs w:val="21"/>
              </w:rPr>
              <w:t>可用性、易用性</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exact"/>
          <w:jc w:val="center"/>
        </w:trPr>
        <w:tc>
          <w:tcPr>
            <w:tcW w:w="679" w:type="dxa"/>
            <w:vMerge w:val="continue"/>
            <w:vAlign w:val="center"/>
          </w:tcPr>
          <w:p>
            <w:pPr>
              <w:spacing w:line="360" w:lineRule="auto"/>
              <w:jc w:val="center"/>
              <w:rPr>
                <w:rFonts w:ascii="微软雅黑" w:hAnsi="微软雅黑" w:eastAsia="微软雅黑"/>
                <w:szCs w:val="21"/>
              </w:rPr>
            </w:pPr>
          </w:p>
        </w:tc>
        <w:tc>
          <w:tcPr>
            <w:tcW w:w="1285" w:type="dxa"/>
            <w:vMerge w:val="continue"/>
            <w:vAlign w:val="center"/>
          </w:tcPr>
          <w:p>
            <w:pPr>
              <w:spacing w:line="360" w:lineRule="auto"/>
              <w:jc w:val="center"/>
              <w:rPr>
                <w:rFonts w:ascii="微软雅黑" w:hAnsi="微软雅黑" w:eastAsia="微软雅黑"/>
                <w:szCs w:val="21"/>
              </w:rPr>
            </w:pP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3</w:t>
            </w:r>
            <w:r>
              <w:rPr>
                <w:rFonts w:hint="eastAsia" w:ascii="微软雅黑" w:hAnsi="微软雅黑" w:eastAsia="微软雅黑" w:cs="宋体"/>
                <w:kern w:val="0"/>
                <w:szCs w:val="21"/>
              </w:rPr>
              <w:t>.</w:t>
            </w:r>
            <w:r>
              <w:rPr>
                <w:rFonts w:ascii="微软雅黑" w:hAnsi="微软雅黑" w:eastAsia="微软雅黑" w:cs="宋体"/>
                <w:kern w:val="0"/>
                <w:szCs w:val="21"/>
              </w:rPr>
              <w:t>兼容性、开放性</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exact"/>
          <w:jc w:val="center"/>
        </w:trPr>
        <w:tc>
          <w:tcPr>
            <w:tcW w:w="679" w:type="dxa"/>
            <w:vMerge w:val="continue"/>
            <w:vAlign w:val="center"/>
          </w:tcPr>
          <w:p>
            <w:pPr>
              <w:spacing w:line="360" w:lineRule="auto"/>
              <w:jc w:val="center"/>
              <w:rPr>
                <w:rFonts w:ascii="微软雅黑" w:hAnsi="微软雅黑" w:eastAsia="微软雅黑"/>
                <w:szCs w:val="21"/>
              </w:rPr>
            </w:pPr>
          </w:p>
        </w:tc>
        <w:tc>
          <w:tcPr>
            <w:tcW w:w="1285" w:type="dxa"/>
            <w:vMerge w:val="continue"/>
            <w:vAlign w:val="center"/>
          </w:tcPr>
          <w:p>
            <w:pPr>
              <w:spacing w:line="360" w:lineRule="auto"/>
              <w:jc w:val="center"/>
              <w:rPr>
                <w:rFonts w:ascii="微软雅黑" w:hAnsi="微软雅黑" w:eastAsia="微软雅黑"/>
                <w:szCs w:val="21"/>
              </w:rPr>
            </w:pP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4</w:t>
            </w:r>
            <w:r>
              <w:rPr>
                <w:rFonts w:hint="eastAsia" w:ascii="微软雅黑" w:hAnsi="微软雅黑" w:eastAsia="微软雅黑" w:cs="宋体"/>
                <w:kern w:val="0"/>
                <w:szCs w:val="21"/>
              </w:rPr>
              <w:t>.</w:t>
            </w:r>
            <w:r>
              <w:rPr>
                <w:rFonts w:ascii="微软雅黑" w:hAnsi="微软雅黑" w:eastAsia="微软雅黑" w:cs="宋体"/>
                <w:kern w:val="0"/>
                <w:szCs w:val="21"/>
              </w:rPr>
              <w:t>对硬件、耗材要求</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exact"/>
          <w:jc w:val="center"/>
        </w:trPr>
        <w:tc>
          <w:tcPr>
            <w:tcW w:w="679" w:type="dxa"/>
            <w:vMerge w:val="continue"/>
            <w:vAlign w:val="center"/>
          </w:tcPr>
          <w:p>
            <w:pPr>
              <w:spacing w:line="360" w:lineRule="auto"/>
              <w:jc w:val="center"/>
              <w:rPr>
                <w:rFonts w:ascii="微软雅黑" w:hAnsi="微软雅黑" w:eastAsia="微软雅黑"/>
                <w:szCs w:val="21"/>
              </w:rPr>
            </w:pPr>
          </w:p>
        </w:tc>
        <w:tc>
          <w:tcPr>
            <w:tcW w:w="1285" w:type="dxa"/>
            <w:vMerge w:val="continue"/>
            <w:vAlign w:val="center"/>
          </w:tcPr>
          <w:p>
            <w:pPr>
              <w:spacing w:line="360" w:lineRule="auto"/>
              <w:jc w:val="center"/>
              <w:rPr>
                <w:rFonts w:ascii="微软雅黑" w:hAnsi="微软雅黑" w:eastAsia="微软雅黑"/>
                <w:szCs w:val="21"/>
              </w:rPr>
            </w:pPr>
          </w:p>
        </w:tc>
        <w:tc>
          <w:tcPr>
            <w:tcW w:w="3992" w:type="dxa"/>
            <w:vAlign w:val="center"/>
          </w:tcPr>
          <w:p>
            <w:pPr>
              <w:spacing w:line="360" w:lineRule="auto"/>
              <w:rPr>
                <w:rFonts w:ascii="微软雅黑" w:hAnsi="微软雅黑" w:eastAsia="微软雅黑" w:cs="宋体"/>
                <w:kern w:val="0"/>
                <w:szCs w:val="21"/>
              </w:rPr>
            </w:pPr>
            <w:r>
              <w:rPr>
                <w:rFonts w:ascii="微软雅黑" w:hAnsi="微软雅黑" w:eastAsia="微软雅黑" w:cs="宋体"/>
                <w:kern w:val="0"/>
                <w:szCs w:val="21"/>
              </w:rPr>
              <w:t>5</w:t>
            </w:r>
            <w:r>
              <w:rPr>
                <w:rFonts w:hint="eastAsia" w:ascii="微软雅黑" w:hAnsi="微软雅黑" w:eastAsia="微软雅黑" w:cs="宋体"/>
                <w:kern w:val="0"/>
                <w:szCs w:val="21"/>
              </w:rPr>
              <w:t>.</w:t>
            </w:r>
            <w:r>
              <w:rPr>
                <w:rFonts w:ascii="微软雅黑" w:hAnsi="微软雅黑" w:eastAsia="微软雅黑" w:cs="宋体"/>
                <w:kern w:val="0"/>
                <w:szCs w:val="21"/>
              </w:rPr>
              <w:t>实施周期</w:t>
            </w:r>
            <w:r>
              <w:rPr>
                <w:rFonts w:hint="eastAsia" w:ascii="微软雅黑" w:hAnsi="微软雅黑" w:eastAsia="微软雅黑" w:cs="宋体"/>
                <w:kern w:val="0"/>
                <w:szCs w:val="21"/>
              </w:rPr>
              <w:t>。</w:t>
            </w:r>
          </w:p>
        </w:tc>
        <w:tc>
          <w:tcPr>
            <w:tcW w:w="4075" w:type="dxa"/>
            <w:vMerge w:val="continue"/>
          </w:tcPr>
          <w:p>
            <w:pPr>
              <w:spacing w:line="360" w:lineRule="auto"/>
              <w:rPr>
                <w:rFonts w:ascii="微软雅黑" w:hAnsi="微软雅黑" w:eastAsia="微软雅黑"/>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exact"/>
          <w:jc w:val="center"/>
        </w:trPr>
        <w:tc>
          <w:tcPr>
            <w:tcW w:w="679" w:type="dxa"/>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4</w:t>
            </w:r>
          </w:p>
        </w:tc>
        <w:tc>
          <w:tcPr>
            <w:tcW w:w="1285" w:type="dxa"/>
            <w:vAlign w:val="center"/>
          </w:tcPr>
          <w:p>
            <w:pPr>
              <w:spacing w:line="360" w:lineRule="auto"/>
              <w:jc w:val="center"/>
              <w:rPr>
                <w:rFonts w:ascii="微软雅黑" w:hAnsi="微软雅黑" w:eastAsia="微软雅黑"/>
                <w:szCs w:val="21"/>
              </w:rPr>
            </w:pPr>
            <w:r>
              <w:rPr>
                <w:rFonts w:ascii="微软雅黑" w:hAnsi="微软雅黑" w:eastAsia="微软雅黑" w:cs="宋体"/>
                <w:bCs/>
                <w:kern w:val="0"/>
                <w:szCs w:val="21"/>
              </w:rPr>
              <w:t>实施案例</w:t>
            </w:r>
          </w:p>
        </w:tc>
        <w:tc>
          <w:tcPr>
            <w:tcW w:w="3992" w:type="dxa"/>
            <w:vAlign w:val="center"/>
          </w:tcPr>
          <w:p>
            <w:pPr>
              <w:spacing w:line="360" w:lineRule="auto"/>
              <w:rPr>
                <w:rFonts w:ascii="微软雅黑" w:hAnsi="微软雅黑" w:eastAsia="微软雅黑" w:cs="宋体"/>
                <w:kern w:val="0"/>
                <w:szCs w:val="21"/>
              </w:rPr>
            </w:pPr>
            <w:r>
              <w:rPr>
                <w:rFonts w:hint="eastAsia" w:ascii="微软雅黑" w:hAnsi="微软雅黑" w:eastAsia="微软雅黑" w:cs="宋体"/>
                <w:kern w:val="0"/>
                <w:szCs w:val="21"/>
              </w:rPr>
              <w:t>1.</w:t>
            </w:r>
            <w:r>
              <w:rPr>
                <w:rFonts w:ascii="微软雅黑" w:hAnsi="微软雅黑" w:eastAsia="微软雅黑" w:cs="宋体"/>
                <w:kern w:val="0"/>
                <w:szCs w:val="21"/>
              </w:rPr>
              <w:t>成功实施项目数</w:t>
            </w:r>
            <w:r>
              <w:rPr>
                <w:rFonts w:hint="eastAsia" w:ascii="微软雅黑" w:hAnsi="微软雅黑" w:eastAsia="微软雅黑" w:cs="宋体"/>
                <w:kern w:val="0"/>
                <w:szCs w:val="21"/>
              </w:rPr>
              <w:t>及三家成功案例。</w:t>
            </w:r>
          </w:p>
          <w:p>
            <w:pPr>
              <w:spacing w:line="360" w:lineRule="auto"/>
              <w:rPr>
                <w:rFonts w:ascii="微软雅黑" w:hAnsi="微软雅黑" w:eastAsia="微软雅黑" w:cs="宋体"/>
                <w:kern w:val="0"/>
                <w:szCs w:val="21"/>
              </w:rPr>
            </w:pPr>
            <w:r>
              <w:rPr>
                <w:rFonts w:hint="eastAsia" w:ascii="微软雅黑" w:hAnsi="微软雅黑" w:eastAsia="微软雅黑" w:cs="宋体"/>
                <w:kern w:val="0"/>
                <w:szCs w:val="21"/>
              </w:rPr>
              <w:t>（非必备条件）</w:t>
            </w:r>
          </w:p>
          <w:p>
            <w:pPr>
              <w:spacing w:line="360" w:lineRule="auto"/>
              <w:rPr>
                <w:rFonts w:ascii="微软雅黑" w:hAnsi="微软雅黑" w:eastAsia="微软雅黑" w:cs="宋体"/>
                <w:kern w:val="0"/>
                <w:szCs w:val="21"/>
              </w:rPr>
            </w:pPr>
          </w:p>
        </w:tc>
        <w:tc>
          <w:tcPr>
            <w:tcW w:w="4075" w:type="dxa"/>
          </w:tcPr>
          <w:p>
            <w:pPr>
              <w:spacing w:line="360" w:lineRule="auto"/>
              <w:rPr>
                <w:rFonts w:ascii="微软雅黑" w:hAnsi="微软雅黑" w:eastAsia="微软雅黑"/>
                <w:szCs w:val="21"/>
              </w:rPr>
            </w:pPr>
            <w:r>
              <w:rPr>
                <w:rFonts w:hint="eastAsia" w:ascii="微软雅黑" w:hAnsi="微软雅黑" w:eastAsia="微软雅黑"/>
                <w:szCs w:val="21"/>
              </w:rPr>
              <w:t>提供三家合同（含项目内容清单）复印件。文件以“合作项目+合作单位+合作金额”命名。</w:t>
            </w:r>
          </w:p>
        </w:tc>
      </w:tr>
    </w:tbl>
    <w:p>
      <w:pPr>
        <w:pStyle w:val="15"/>
        <w:widowControl/>
        <w:spacing w:line="360" w:lineRule="auto"/>
        <w:ind w:left="0" w:leftChars="0" w:firstLine="0" w:firstLineChars="0"/>
        <w:jc w:val="left"/>
        <w:rPr>
          <w:rFonts w:hint="eastAsia" w:ascii="微软雅黑" w:hAnsi="微软雅黑" w:eastAsia="微软雅黑"/>
          <w:color w:val="000000"/>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等线">
    <w:altName w:val="宋体"/>
    <w:panose1 w:val="00000000000000000000"/>
    <w:charset w:val="86"/>
    <w:family w:val="roman"/>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等线">
    <w:altName w:val="Arial Unicode M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07D4D"/>
    <w:multiLevelType w:val="multilevel"/>
    <w:tmpl w:val="03D07D4D"/>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56E0283"/>
    <w:multiLevelType w:val="multilevel"/>
    <w:tmpl w:val="356E0283"/>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E890329"/>
    <w:multiLevelType w:val="multilevel"/>
    <w:tmpl w:val="5E89032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3163E5"/>
    <w:multiLevelType w:val="multilevel"/>
    <w:tmpl w:val="773163E5"/>
    <w:lvl w:ilvl="0" w:tentative="0">
      <w:start w:val="1"/>
      <w:numFmt w:val="chineseCountingThousand"/>
      <w:lvlText w:val="(%1)"/>
      <w:lvlJc w:val="left"/>
      <w:pPr>
        <w:ind w:left="842" w:hanging="420"/>
      </w:p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03488"/>
    <w:rsid w:val="000B27E3"/>
    <w:rsid w:val="00150DD4"/>
    <w:rsid w:val="001B467E"/>
    <w:rsid w:val="0024423E"/>
    <w:rsid w:val="002E5444"/>
    <w:rsid w:val="00351299"/>
    <w:rsid w:val="0038224A"/>
    <w:rsid w:val="00426189"/>
    <w:rsid w:val="005D2664"/>
    <w:rsid w:val="006B2501"/>
    <w:rsid w:val="0072485D"/>
    <w:rsid w:val="00752AFD"/>
    <w:rsid w:val="0076587B"/>
    <w:rsid w:val="00822E02"/>
    <w:rsid w:val="00831372"/>
    <w:rsid w:val="008556A9"/>
    <w:rsid w:val="0087049B"/>
    <w:rsid w:val="008E079A"/>
    <w:rsid w:val="009D18BE"/>
    <w:rsid w:val="00AC61FD"/>
    <w:rsid w:val="00AD406E"/>
    <w:rsid w:val="00AE6F68"/>
    <w:rsid w:val="00B35601"/>
    <w:rsid w:val="00B77211"/>
    <w:rsid w:val="00B82978"/>
    <w:rsid w:val="00BD3110"/>
    <w:rsid w:val="00BD4718"/>
    <w:rsid w:val="00BE4852"/>
    <w:rsid w:val="00C546FF"/>
    <w:rsid w:val="00C90DE4"/>
    <w:rsid w:val="00CA5306"/>
    <w:rsid w:val="00D13886"/>
    <w:rsid w:val="00DA03BB"/>
    <w:rsid w:val="00DA06AF"/>
    <w:rsid w:val="00E00C18"/>
    <w:rsid w:val="00E03488"/>
    <w:rsid w:val="00E4366E"/>
    <w:rsid w:val="00E46332"/>
    <w:rsid w:val="00EF5B2A"/>
    <w:rsid w:val="00FA3250"/>
    <w:rsid w:val="00FC10EB"/>
    <w:rsid w:val="00FC3B19"/>
    <w:rsid w:val="4C9F7D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annotation text"/>
    <w:basedOn w:val="1"/>
    <w:link w:val="12"/>
    <w:qFormat/>
    <w:uiPriority w:val="0"/>
    <w:pPr>
      <w:autoSpaceDE w:val="0"/>
      <w:autoSpaceDN w:val="0"/>
      <w:adjustRightInd w:val="0"/>
      <w:jc w:val="left"/>
      <w:textAlignment w:val="baseline"/>
    </w:pPr>
    <w:rPr>
      <w:rFonts w:ascii="宋体"/>
      <w:kern w:val="0"/>
      <w:sz w:val="34"/>
      <w:szCs w:val="20"/>
    </w:rPr>
  </w:style>
  <w:style w:type="paragraph" w:styleId="4">
    <w:name w:val="Balloon Text"/>
    <w:basedOn w:val="1"/>
    <w:link w:val="11"/>
    <w:semiHidden/>
    <w:unhideWhenUsed/>
    <w:uiPriority w:val="99"/>
    <w:rPr>
      <w:rFonts w:ascii="宋体"/>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annotation reference"/>
    <w:basedOn w:val="9"/>
    <w:semiHidden/>
    <w:unhideWhenUsed/>
    <w:qFormat/>
    <w:uiPriority w:val="99"/>
    <w:rPr>
      <w:sz w:val="21"/>
      <w:szCs w:val="21"/>
    </w:rPr>
  </w:style>
  <w:style w:type="character" w:customStyle="1" w:styleId="11">
    <w:name w:val="批注框文本 Char"/>
    <w:basedOn w:val="9"/>
    <w:link w:val="4"/>
    <w:semiHidden/>
    <w:uiPriority w:val="99"/>
    <w:rPr>
      <w:rFonts w:ascii="宋体" w:eastAsia="宋体"/>
      <w:sz w:val="18"/>
      <w:szCs w:val="18"/>
    </w:rPr>
  </w:style>
  <w:style w:type="character" w:customStyle="1" w:styleId="12">
    <w:name w:val="批注文字 Char"/>
    <w:basedOn w:val="9"/>
    <w:link w:val="3"/>
    <w:qFormat/>
    <w:uiPriority w:val="0"/>
    <w:rPr>
      <w:rFonts w:ascii="宋体" w:hAnsi="Calibri" w:eastAsia="宋体" w:cs="Times New Roman"/>
      <w:kern w:val="0"/>
      <w:sz w:val="34"/>
      <w:szCs w:val="20"/>
    </w:rPr>
  </w:style>
  <w:style w:type="character" w:customStyle="1" w:styleId="13">
    <w:name w:val="页眉 Char"/>
    <w:basedOn w:val="9"/>
    <w:link w:val="6"/>
    <w:qFormat/>
    <w:uiPriority w:val="99"/>
    <w:rPr>
      <w:rFonts w:ascii="Calibri" w:hAnsi="Calibri" w:eastAsia="宋体" w:cs="Times New Roman"/>
      <w:sz w:val="18"/>
      <w:szCs w:val="18"/>
    </w:rPr>
  </w:style>
  <w:style w:type="character" w:customStyle="1" w:styleId="14">
    <w:name w:val="页脚 Char"/>
    <w:basedOn w:val="9"/>
    <w:link w:val="5"/>
    <w:qFormat/>
    <w:uiPriority w:val="99"/>
    <w:rPr>
      <w:rFonts w:ascii="Calibri" w:hAnsi="Calibri" w:eastAsia="宋体" w:cs="Times New Roman"/>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80D47F-2BCB-A24F-8994-F9E93FE43AB3}">
  <ds:schemaRefs/>
</ds:datastoreItem>
</file>

<file path=docProps/app.xml><?xml version="1.0" encoding="utf-8"?>
<Properties xmlns="http://schemas.openxmlformats.org/officeDocument/2006/extended-properties" xmlns:vt="http://schemas.openxmlformats.org/officeDocument/2006/docPropsVTypes">
  <Template>Normal.dotm</Template>
  <Pages>9</Pages>
  <Words>528</Words>
  <Characters>3014</Characters>
  <Lines>25</Lines>
  <Paragraphs>7</Paragraphs>
  <TotalTime>1</TotalTime>
  <ScaleCrop>false</ScaleCrop>
  <LinksUpToDate>false</LinksUpToDate>
  <CharactersWithSpaces>3535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2021-02-01T08:55:00Z</dcterms:created>
  <dc:creator>791026305@qq.com</dc:creator>
  <cp:lastModifiedBy>- 杰 -</cp:lastModifiedBy>
  <dcterms:modified xsi:type="dcterms:W3CDTF">2021-02-10T07:53:32Z</dcterms:modified>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