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numPr>
          <w:ilvl w:val="0"/>
          <w:numId w:val="0"/>
        </w:numPr>
        <w:jc w:val="left"/>
        <w:rPr>
          <w:rFonts w:hint="default"/>
          <w:color w:val="auto"/>
          <w:sz w:val="28"/>
          <w:szCs w:val="28"/>
          <w:lang w:val="en-US" w:eastAsia="zh-CN"/>
        </w:rPr>
      </w:pPr>
      <w:bookmarkStart w:id="0" w:name="_Toc21109"/>
      <w:bookmarkStart w:id="1" w:name="_Toc19015"/>
      <w:bookmarkStart w:id="2" w:name="_Toc14986"/>
      <w:r>
        <w:rPr>
          <w:rFonts w:hint="eastAsia"/>
          <w:color w:val="auto"/>
          <w:sz w:val="28"/>
          <w:szCs w:val="28"/>
          <w:lang w:val="en-US" w:eastAsia="zh-CN"/>
        </w:rPr>
        <w:t>附件：</w:t>
      </w:r>
    </w:p>
    <w:p>
      <w:pPr>
        <w:pStyle w:val="2"/>
        <w:keepNext w:val="0"/>
        <w:keepLines w:val="0"/>
        <w:ind w:firstLine="3012" w:firstLineChars="1000"/>
        <w:rPr>
          <w:rFonts w:hint="eastAsia" w:ascii="宋体" w:hAnsi="宋体" w:eastAsia="宋体" w:cs="宋体"/>
          <w:sz w:val="30"/>
          <w:szCs w:val="30"/>
        </w:rPr>
      </w:pPr>
      <w:r>
        <w:rPr>
          <w:rFonts w:hint="eastAsia" w:ascii="宋体" w:hAnsi="宋体" w:eastAsia="宋体" w:cs="宋体"/>
          <w:sz w:val="30"/>
          <w:szCs w:val="30"/>
        </w:rPr>
        <w:t>评</w:t>
      </w:r>
      <w:r>
        <w:rPr>
          <w:rFonts w:hint="eastAsia" w:ascii="宋体" w:hAnsi="宋体" w:eastAsia="宋体" w:cs="宋体"/>
          <w:sz w:val="30"/>
          <w:szCs w:val="30"/>
          <w:lang w:eastAsia="zh-CN"/>
        </w:rPr>
        <w:t>选</w:t>
      </w:r>
      <w:bookmarkStart w:id="3" w:name="_GoBack"/>
      <w:bookmarkEnd w:id="3"/>
      <w:r>
        <w:rPr>
          <w:rFonts w:hint="eastAsia" w:ascii="宋体" w:hAnsi="宋体" w:eastAsia="宋体" w:cs="宋体"/>
          <w:sz w:val="30"/>
          <w:szCs w:val="30"/>
        </w:rPr>
        <w:t>办法</w:t>
      </w:r>
      <w:bookmarkEnd w:id="0"/>
      <w:bookmarkEnd w:id="1"/>
      <w:bookmarkEnd w:id="2"/>
    </w:p>
    <w:tbl>
      <w:tblPr>
        <w:tblStyle w:val="6"/>
        <w:tblW w:w="8601" w:type="dxa"/>
        <w:tblInd w:w="-31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51"/>
        <w:gridCol w:w="885"/>
        <w:gridCol w:w="1080"/>
        <w:gridCol w:w="56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51" w:type="dxa"/>
            <w:tcBorders>
              <w:top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条款号</w:t>
            </w:r>
          </w:p>
        </w:tc>
        <w:tc>
          <w:tcPr>
            <w:tcW w:w="1965"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b/>
                <w:sz w:val="24"/>
                <w:szCs w:val="24"/>
                <w:highlight w:val="none"/>
              </w:rPr>
            </w:pPr>
            <w:r>
              <w:rPr>
                <w:rFonts w:hint="default" w:ascii="Times New Roman" w:hAnsi="Times New Roman" w:eastAsia="宋体" w:cs="Times New Roman"/>
                <w:b/>
                <w:sz w:val="24"/>
                <w:szCs w:val="24"/>
                <w:highlight w:val="none"/>
              </w:rPr>
              <w:t>条款内容</w:t>
            </w:r>
          </w:p>
        </w:tc>
        <w:tc>
          <w:tcPr>
            <w:tcW w:w="56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b/>
                <w:sz w:val="24"/>
                <w:szCs w:val="24"/>
                <w:highlight w:val="none"/>
                <w:lang w:eastAsia="zh-CN"/>
              </w:rPr>
            </w:pPr>
            <w:r>
              <w:rPr>
                <w:rFonts w:hint="default" w:ascii="Times New Roman" w:hAnsi="Times New Roman" w:eastAsia="宋体" w:cs="Times New Roman"/>
                <w:b/>
                <w:sz w:val="24"/>
                <w:szCs w:val="24"/>
                <w:highlight w:val="none"/>
                <w:lang w:eastAsia="zh-CN"/>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951" w:type="dxa"/>
            <w:tcBorders>
              <w:top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w:t>
            </w:r>
          </w:p>
        </w:tc>
        <w:tc>
          <w:tcPr>
            <w:tcW w:w="196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开标评标办法</w:t>
            </w:r>
          </w:p>
        </w:tc>
        <w:tc>
          <w:tcPr>
            <w:tcW w:w="56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综合评分法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72" w:hRule="atLeast"/>
        </w:trPr>
        <w:tc>
          <w:tcPr>
            <w:tcW w:w="951" w:type="dxa"/>
            <w:tcBorders>
              <w:top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w:t>
            </w:r>
          </w:p>
        </w:tc>
        <w:tc>
          <w:tcPr>
            <w:tcW w:w="1965"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分值构成</w:t>
            </w:r>
          </w:p>
          <w:p>
            <w:pPr>
              <w:spacing w:line="360" w:lineRule="auto"/>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(总分100分)</w:t>
            </w:r>
          </w:p>
        </w:tc>
        <w:tc>
          <w:tcPr>
            <w:tcW w:w="5685"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宋体" w:cs="Times New Roman"/>
                <w:color w:val="auto"/>
                <w:sz w:val="24"/>
                <w:szCs w:val="24"/>
                <w:highlight w:val="none"/>
                <w:u w:val="single"/>
              </w:rPr>
            </w:pPr>
            <w:r>
              <w:rPr>
                <w:rFonts w:hint="default" w:ascii="Times New Roman" w:hAnsi="Times New Roman" w:eastAsia="宋体" w:cs="Times New Roman"/>
                <w:color w:val="auto"/>
                <w:sz w:val="24"/>
                <w:szCs w:val="24"/>
                <w:highlight w:val="none"/>
              </w:rPr>
              <w:t>资信业绩部分：</w:t>
            </w:r>
            <w:r>
              <w:rPr>
                <w:rFonts w:hint="default" w:ascii="Times New Roman" w:hAnsi="Times New Roman" w:eastAsia="宋体" w:cs="Times New Roman"/>
                <w:color w:val="auto"/>
                <w:sz w:val="24"/>
                <w:szCs w:val="24"/>
                <w:highlight w:val="none"/>
                <w:u w:val="single"/>
                <w:lang w:val="en-US" w:eastAsia="zh-CN"/>
              </w:rPr>
              <w:t>20</w:t>
            </w:r>
            <w:r>
              <w:rPr>
                <w:rFonts w:hint="default" w:ascii="Times New Roman" w:hAnsi="Times New Roman" w:eastAsia="宋体" w:cs="Times New Roman"/>
                <w:color w:val="auto"/>
                <w:sz w:val="24"/>
                <w:szCs w:val="24"/>
                <w:highlight w:val="none"/>
                <w:u w:val="single"/>
              </w:rPr>
              <w:t>分</w:t>
            </w:r>
          </w:p>
          <w:p>
            <w:pPr>
              <w:rPr>
                <w:rFonts w:hint="default" w:ascii="Times New Roman" w:hAnsi="Times New Roman" w:eastAsia="宋体" w:cs="Times New Roman"/>
                <w:color w:val="auto"/>
                <w:sz w:val="24"/>
                <w:szCs w:val="24"/>
                <w:highlight w:val="none"/>
                <w:u w:val="single"/>
              </w:rPr>
            </w:pPr>
            <w:r>
              <w:rPr>
                <w:rFonts w:hint="default" w:ascii="Times New Roman" w:hAnsi="Times New Roman" w:eastAsia="宋体" w:cs="Times New Roman"/>
                <w:color w:val="auto"/>
                <w:sz w:val="24"/>
                <w:szCs w:val="24"/>
                <w:highlight w:val="none"/>
              </w:rPr>
              <w:t>方案部分：</w:t>
            </w:r>
            <w:r>
              <w:rPr>
                <w:rFonts w:hint="default" w:ascii="Times New Roman" w:hAnsi="Times New Roman" w:eastAsia="宋体" w:cs="Times New Roman"/>
                <w:color w:val="auto"/>
                <w:sz w:val="24"/>
                <w:szCs w:val="24"/>
                <w:highlight w:val="none"/>
                <w:u w:val="single"/>
                <w:lang w:val="en-US" w:eastAsia="zh-CN"/>
              </w:rPr>
              <w:t>50</w:t>
            </w:r>
            <w:r>
              <w:rPr>
                <w:rFonts w:hint="default" w:ascii="Times New Roman" w:hAnsi="Times New Roman" w:eastAsia="宋体" w:cs="Times New Roman"/>
                <w:color w:val="auto"/>
                <w:sz w:val="24"/>
                <w:szCs w:val="24"/>
                <w:highlight w:val="none"/>
                <w:u w:val="single"/>
              </w:rPr>
              <w:t>分</w:t>
            </w:r>
          </w:p>
          <w:p>
            <w:pPr>
              <w:rPr>
                <w:rFonts w:hint="default" w:ascii="Times New Roman" w:hAnsi="Times New Roman" w:eastAsia="宋体" w:cs="Times New Roman"/>
                <w:color w:val="auto"/>
                <w:sz w:val="24"/>
                <w:szCs w:val="24"/>
                <w:highlight w:val="none"/>
                <w:u w:val="single"/>
              </w:rPr>
            </w:pPr>
            <w:r>
              <w:rPr>
                <w:rFonts w:hint="default" w:ascii="Times New Roman" w:hAnsi="Times New Roman" w:eastAsia="宋体" w:cs="Times New Roman"/>
                <w:color w:val="auto"/>
                <w:sz w:val="24"/>
                <w:szCs w:val="24"/>
                <w:highlight w:val="none"/>
              </w:rPr>
              <w:t>价格部分：</w:t>
            </w:r>
            <w:r>
              <w:rPr>
                <w:rFonts w:hint="default" w:ascii="Times New Roman" w:hAnsi="Times New Roman" w:eastAsia="宋体" w:cs="Times New Roman"/>
                <w:color w:val="auto"/>
                <w:sz w:val="24"/>
                <w:szCs w:val="24"/>
                <w:highlight w:val="none"/>
                <w:u w:val="single"/>
                <w:lang w:val="en-US" w:eastAsia="zh-CN"/>
              </w:rPr>
              <w:t>3</w:t>
            </w:r>
            <w:r>
              <w:rPr>
                <w:rFonts w:hint="default" w:ascii="Times New Roman" w:hAnsi="Times New Roman" w:eastAsia="宋体" w:cs="Times New Roman"/>
                <w:color w:val="auto"/>
                <w:sz w:val="24"/>
                <w:szCs w:val="24"/>
                <w:highlight w:val="none"/>
                <w:u w:val="single"/>
              </w:rPr>
              <w:t>0分</w:t>
            </w:r>
          </w:p>
          <w:p>
            <w:pPr>
              <w:spacing w:line="360" w:lineRule="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color w:val="auto"/>
                <w:sz w:val="24"/>
                <w:szCs w:val="24"/>
                <w:highlight w:val="none"/>
              </w:rPr>
              <w:t>总得分（满分100分）=资信业绩部分得分+造价咨询服务方案部分得分+</w:t>
            </w:r>
            <w:r>
              <w:rPr>
                <w:rFonts w:hint="eastAsia" w:cs="Times New Roman"/>
                <w:color w:val="auto"/>
                <w:sz w:val="24"/>
                <w:szCs w:val="24"/>
                <w:highlight w:val="none"/>
                <w:lang w:eastAsia="zh-CN"/>
              </w:rPr>
              <w:t>价格</w:t>
            </w:r>
            <w:r>
              <w:rPr>
                <w:rFonts w:hint="default" w:ascii="Times New Roman" w:hAnsi="Times New Roman" w:eastAsia="宋体" w:cs="Times New Roman"/>
                <w:color w:val="auto"/>
                <w:sz w:val="24"/>
                <w:szCs w:val="24"/>
                <w:highlight w:val="none"/>
              </w:rPr>
              <w:t>部分得分。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9" w:hRule="atLeast"/>
        </w:trPr>
        <w:tc>
          <w:tcPr>
            <w:tcW w:w="951" w:type="dxa"/>
            <w:tcBorders>
              <w:top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val="en-US" w:eastAsia="zh-CN"/>
              </w:rPr>
              <w:t>3</w:t>
            </w:r>
          </w:p>
        </w:tc>
        <w:tc>
          <w:tcPr>
            <w:tcW w:w="196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宋体" w:cs="Times New Roman"/>
                <w:color w:val="auto"/>
                <w:sz w:val="24"/>
                <w:szCs w:val="24"/>
                <w:highlight w:val="none"/>
                <w:lang w:eastAsia="zh-CN"/>
              </w:rPr>
            </w:pPr>
            <w:r>
              <w:rPr>
                <w:rFonts w:hint="eastAsia" w:ascii="宋体" w:hAnsi="宋体" w:eastAsia="宋体" w:cs="宋体"/>
                <w:color w:val="auto"/>
                <w:sz w:val="24"/>
                <w:szCs w:val="24"/>
                <w:highlight w:val="none"/>
              </w:rPr>
              <w:t>最高投标限价</w:t>
            </w:r>
          </w:p>
        </w:tc>
        <w:tc>
          <w:tcPr>
            <w:tcW w:w="5685" w:type="dxa"/>
            <w:tcBorders>
              <w:top w:val="single" w:color="auto" w:sz="4" w:space="0"/>
              <w:left w:val="single" w:color="auto" w:sz="4" w:space="0"/>
              <w:bottom w:val="single" w:color="auto" w:sz="4" w:space="0"/>
              <w:right w:val="single" w:color="auto" w:sz="4" w:space="0"/>
            </w:tcBorders>
            <w:noWrap w:val="0"/>
            <w:vAlign w:val="center"/>
          </w:tcPr>
          <w:p>
            <w:pPr>
              <w:spacing w:line="406" w:lineRule="exact"/>
              <w:ind w:left="27" w:leftChars="13"/>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采用投标下浮率的方式报价，对本项目报出唯一的投标下浮率。</w:t>
            </w:r>
          </w:p>
          <w:p>
            <w:pPr>
              <w:spacing w:line="406" w:lineRule="exact"/>
              <w:ind w:left="27" w:leftChars="13"/>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投标下浮率必须为固定的报价（如</w:t>
            </w:r>
            <w:r>
              <w:rPr>
                <w:rFonts w:hint="eastAsia" w:cs="Times New Roman"/>
                <w:sz w:val="24"/>
                <w:szCs w:val="24"/>
                <w:highlight w:val="none"/>
                <w:lang w:val="en-US" w:eastAsia="zh-CN"/>
              </w:rPr>
              <w:t>10</w:t>
            </w:r>
            <w:r>
              <w:rPr>
                <w:rFonts w:hint="default" w:ascii="Times New Roman" w:hAnsi="Times New Roman" w:eastAsia="宋体" w:cs="Times New Roman"/>
                <w:sz w:val="24"/>
                <w:szCs w:val="24"/>
                <w:highlight w:val="none"/>
              </w:rPr>
              <w:t>%），不得存在区间值（如</w:t>
            </w:r>
            <w:r>
              <w:rPr>
                <w:rFonts w:hint="eastAsia" w:cs="Times New Roman"/>
                <w:sz w:val="24"/>
                <w:szCs w:val="24"/>
                <w:highlight w:val="none"/>
                <w:lang w:val="en-US" w:eastAsia="zh-CN"/>
              </w:rPr>
              <w:t>8</w:t>
            </w:r>
            <w:r>
              <w:rPr>
                <w:rFonts w:hint="default" w:ascii="Times New Roman" w:hAnsi="Times New Roman" w:eastAsia="宋体" w:cs="Times New Roman"/>
                <w:sz w:val="24"/>
                <w:szCs w:val="24"/>
                <w:highlight w:val="none"/>
              </w:rPr>
              <w:t>～</w:t>
            </w:r>
            <w:r>
              <w:rPr>
                <w:rFonts w:hint="eastAsia" w:cs="Times New Roman"/>
                <w:sz w:val="24"/>
                <w:szCs w:val="24"/>
                <w:highlight w:val="none"/>
                <w:lang w:val="en-US" w:eastAsia="zh-CN"/>
              </w:rPr>
              <w:t>10</w:t>
            </w:r>
            <w:r>
              <w:rPr>
                <w:rFonts w:hint="default" w:ascii="Times New Roman" w:hAnsi="Times New Roman" w:eastAsia="宋体" w:cs="Times New Roman"/>
                <w:sz w:val="24"/>
                <w:szCs w:val="24"/>
                <w:highlight w:val="none"/>
              </w:rPr>
              <w:t>%），否则将被视为非实质性响应招标文件，按无效投标处理。</w:t>
            </w:r>
          </w:p>
          <w:p>
            <w:pPr>
              <w:spacing w:line="406" w:lineRule="exact"/>
              <w:ind w:left="27" w:leftChars="13"/>
              <w:rPr>
                <w:rFonts w:hint="eastAsia"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rPr>
              <w:t>投标下浮率</w:t>
            </w:r>
            <w:r>
              <w:rPr>
                <w:rFonts w:hint="default"/>
                <w:sz w:val="24"/>
                <w:szCs w:val="24"/>
                <w:highlight w:val="none"/>
              </w:rPr>
              <w:t>须≥</w:t>
            </w:r>
            <w:r>
              <w:rPr>
                <w:rFonts w:hint="eastAsia"/>
                <w:sz w:val="24"/>
                <w:szCs w:val="24"/>
                <w:highlight w:val="none"/>
                <w:lang w:val="en-US" w:eastAsia="zh-CN"/>
              </w:rPr>
              <w:t>15</w:t>
            </w:r>
            <w:r>
              <w:rPr>
                <w:rFonts w:hint="default"/>
                <w:sz w:val="24"/>
                <w:szCs w:val="24"/>
                <w:highlight w:val="none"/>
              </w:rPr>
              <w:t>%</w:t>
            </w:r>
            <w:r>
              <w:rPr>
                <w:rFonts w:hint="default" w:ascii="Times New Roman" w:hAnsi="Times New Roman" w:eastAsia="宋体" w:cs="Times New Roman"/>
                <w:sz w:val="24"/>
                <w:szCs w:val="24"/>
                <w:highlight w:val="none"/>
              </w:rPr>
              <w:t>，否则无效</w:t>
            </w:r>
            <w:r>
              <w:rPr>
                <w:rFonts w:hint="eastAsia" w:cs="Times New Roman"/>
                <w:sz w:val="24"/>
                <w:szCs w:val="24"/>
                <w:highlight w:val="none"/>
                <w:lang w:eastAsia="zh-CN"/>
              </w:rPr>
              <w:t>。</w:t>
            </w:r>
          </w:p>
          <w:p>
            <w:pPr>
              <w:spacing w:line="406" w:lineRule="exact"/>
              <w:ind w:left="27" w:leftChars="13"/>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rPr>
              <w:t>注：投标人以下浮率进行投标，</w:t>
            </w:r>
            <w:r>
              <w:rPr>
                <w:rFonts w:hint="eastAsia" w:cs="Times New Roman"/>
                <w:sz w:val="24"/>
                <w:szCs w:val="24"/>
                <w:highlight w:val="none"/>
                <w:lang w:eastAsia="zh-CN"/>
              </w:rPr>
              <w:t>下浮率大于</w:t>
            </w:r>
            <w:r>
              <w:rPr>
                <w:rFonts w:hint="eastAsia" w:cs="Times New Roman"/>
                <w:color w:val="auto"/>
                <w:sz w:val="24"/>
                <w:szCs w:val="24"/>
                <w:highlight w:val="none"/>
                <w:lang w:val="en-US" w:eastAsia="zh-CN"/>
              </w:rPr>
              <w:t>30%</w:t>
            </w:r>
            <w:r>
              <w:rPr>
                <w:rFonts w:hint="eastAsia" w:cs="Times New Roman"/>
                <w:sz w:val="24"/>
                <w:szCs w:val="24"/>
                <w:highlight w:val="none"/>
                <w:lang w:val="en-US" w:eastAsia="zh-CN"/>
              </w:rPr>
              <w:t>时须</w:t>
            </w:r>
            <w:r>
              <w:rPr>
                <w:rFonts w:hint="eastAsia"/>
                <w:sz w:val="24"/>
                <w:szCs w:val="24"/>
                <w:highlight w:val="none"/>
              </w:rPr>
              <w:t>提供详细的成本分析等书面说明材料供委托人评审，由委托人判定其是否低于企业自身成本。不能合理说明或者不能提供相关证明材料的，由委托人认定该咨询人以低于成本竞价，应当认定无效</w:t>
            </w:r>
            <w:r>
              <w:rPr>
                <w:rFonts w:hint="eastAsia"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67" w:hRule="atLeast"/>
        </w:trPr>
        <w:tc>
          <w:tcPr>
            <w:tcW w:w="951" w:type="dxa"/>
            <w:tcBorders>
              <w:top w:val="single" w:color="auto" w:sz="4" w:space="0"/>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4</w:t>
            </w:r>
          </w:p>
        </w:tc>
        <w:tc>
          <w:tcPr>
            <w:tcW w:w="196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rPr>
              <w:t>评标基准</w:t>
            </w:r>
            <w:r>
              <w:rPr>
                <w:rFonts w:hint="default" w:ascii="Times New Roman" w:hAnsi="Times New Roman" w:eastAsia="宋体" w:cs="Times New Roman"/>
                <w:color w:val="auto"/>
                <w:sz w:val="24"/>
                <w:szCs w:val="24"/>
                <w:highlight w:val="none"/>
                <w:lang w:eastAsia="zh-CN"/>
              </w:rPr>
              <w:t>下浮率</w:t>
            </w:r>
            <w:r>
              <w:rPr>
                <w:rFonts w:hint="default" w:ascii="Times New Roman" w:hAnsi="Times New Roman" w:eastAsia="宋体" w:cs="Times New Roman"/>
                <w:color w:val="auto"/>
                <w:sz w:val="24"/>
                <w:szCs w:val="24"/>
                <w:highlight w:val="none"/>
              </w:rPr>
              <w:t>计算方法</w:t>
            </w:r>
          </w:p>
        </w:tc>
        <w:tc>
          <w:tcPr>
            <w:tcW w:w="5685" w:type="dxa"/>
            <w:tcBorders>
              <w:top w:val="single" w:color="auto" w:sz="4" w:space="0"/>
              <w:left w:val="single" w:color="auto" w:sz="4" w:space="0"/>
              <w:bottom w:val="single" w:color="auto" w:sz="4" w:space="0"/>
              <w:right w:val="single" w:color="auto" w:sz="4" w:space="0"/>
            </w:tcBorders>
            <w:noWrap w:val="0"/>
            <w:vAlign w:val="center"/>
          </w:tcPr>
          <w:p>
            <w:pPr>
              <w:spacing w:line="406" w:lineRule="exact"/>
              <w:ind w:left="27" w:leftChars="13"/>
              <w:rPr>
                <w:rFonts w:hint="default" w:ascii="Times New Roman" w:hAnsi="Times New Roman" w:eastAsia="宋体" w:cs="Times New Roman"/>
                <w:color w:val="auto"/>
                <w:spacing w:val="-7"/>
                <w:kern w:val="2"/>
                <w:sz w:val="24"/>
                <w:szCs w:val="24"/>
                <w:highlight w:val="none"/>
                <w:lang w:val="en-US" w:eastAsia="zh-CN" w:bidi="ar-SA"/>
              </w:rPr>
            </w:pPr>
            <w:r>
              <w:rPr>
                <w:rFonts w:hint="eastAsia" w:ascii="Times New Roman" w:hAnsi="Times New Roman" w:eastAsia="宋体" w:cs="Times New Roman"/>
                <w:sz w:val="24"/>
                <w:szCs w:val="24"/>
                <w:highlight w:val="none"/>
              </w:rPr>
              <w:t>取通过形式评审、资格评审及响应性评审的投标人的</w:t>
            </w:r>
            <w:r>
              <w:rPr>
                <w:rFonts w:hint="eastAsia" w:ascii="Times New Roman" w:hAnsi="Times New Roman" w:eastAsia="宋体" w:cs="Times New Roman"/>
                <w:sz w:val="24"/>
                <w:szCs w:val="24"/>
                <w:highlight w:val="none"/>
                <w:lang w:eastAsia="zh-CN"/>
              </w:rPr>
              <w:t>投标下浮率</w:t>
            </w:r>
            <w:r>
              <w:rPr>
                <w:rFonts w:hint="eastAsia" w:ascii="Times New Roman" w:hAnsi="Times New Roman" w:eastAsia="宋体" w:cs="Times New Roman"/>
                <w:sz w:val="24"/>
                <w:szCs w:val="24"/>
                <w:highlight w:val="none"/>
              </w:rPr>
              <w:t>计算评标基准</w:t>
            </w:r>
            <w:r>
              <w:rPr>
                <w:rFonts w:hint="eastAsia" w:ascii="Times New Roman" w:hAnsi="Times New Roman" w:eastAsia="宋体" w:cs="Times New Roman"/>
                <w:sz w:val="24"/>
                <w:szCs w:val="24"/>
                <w:highlight w:val="none"/>
                <w:lang w:eastAsia="zh-CN"/>
              </w:rPr>
              <w:t>下浮率</w:t>
            </w:r>
            <w:r>
              <w:rPr>
                <w:rFonts w:hint="eastAsia" w:ascii="Times New Roman" w:hAnsi="Times New Roman" w:eastAsia="宋体" w:cs="Times New Roman"/>
                <w:sz w:val="24"/>
                <w:szCs w:val="24"/>
                <w:highlight w:val="none"/>
              </w:rPr>
              <w:t>：当</w:t>
            </w:r>
            <w:r>
              <w:rPr>
                <w:rFonts w:hint="eastAsia" w:ascii="Times New Roman" w:hAnsi="Times New Roman" w:eastAsia="宋体" w:cs="Times New Roman"/>
                <w:sz w:val="24"/>
                <w:szCs w:val="24"/>
                <w:highlight w:val="none"/>
                <w:lang w:eastAsia="zh-CN"/>
              </w:rPr>
              <w:t>有效报价的</w:t>
            </w:r>
            <w:r>
              <w:rPr>
                <w:rFonts w:hint="eastAsia" w:ascii="Times New Roman" w:hAnsi="Times New Roman" w:eastAsia="宋体" w:cs="Times New Roman"/>
                <w:sz w:val="24"/>
                <w:szCs w:val="24"/>
                <w:highlight w:val="none"/>
              </w:rPr>
              <w:t>投标人大于或等于5家时，去掉一个最高</w:t>
            </w:r>
            <w:r>
              <w:rPr>
                <w:rFonts w:hint="eastAsia" w:ascii="Times New Roman" w:hAnsi="Times New Roman" w:eastAsia="宋体" w:cs="Times New Roman"/>
                <w:sz w:val="24"/>
                <w:szCs w:val="24"/>
                <w:highlight w:val="none"/>
                <w:lang w:eastAsia="zh-CN"/>
              </w:rPr>
              <w:t>投标下浮率</w:t>
            </w:r>
            <w:r>
              <w:rPr>
                <w:rFonts w:hint="eastAsia" w:ascii="Times New Roman" w:hAnsi="Times New Roman" w:eastAsia="宋体" w:cs="Times New Roman"/>
                <w:sz w:val="24"/>
                <w:szCs w:val="24"/>
                <w:highlight w:val="none"/>
              </w:rPr>
              <w:t>和一个最低</w:t>
            </w:r>
            <w:r>
              <w:rPr>
                <w:rFonts w:hint="eastAsia" w:ascii="Times New Roman" w:hAnsi="Times New Roman" w:eastAsia="宋体" w:cs="Times New Roman"/>
                <w:sz w:val="24"/>
                <w:szCs w:val="24"/>
                <w:highlight w:val="none"/>
                <w:lang w:eastAsia="zh-CN"/>
              </w:rPr>
              <w:t>投标下浮率</w:t>
            </w:r>
            <w:r>
              <w:rPr>
                <w:rFonts w:hint="eastAsia" w:ascii="Times New Roman" w:hAnsi="Times New Roman" w:eastAsia="宋体" w:cs="Times New Roman"/>
                <w:sz w:val="24"/>
                <w:szCs w:val="24"/>
                <w:highlight w:val="none"/>
              </w:rPr>
              <w:t>，取余下投标</w:t>
            </w:r>
            <w:r>
              <w:rPr>
                <w:rFonts w:hint="eastAsia" w:ascii="Times New Roman" w:hAnsi="Times New Roman" w:eastAsia="宋体" w:cs="Times New Roman"/>
                <w:sz w:val="24"/>
                <w:szCs w:val="24"/>
                <w:highlight w:val="none"/>
                <w:lang w:eastAsia="zh-CN"/>
              </w:rPr>
              <w:t>下浮率</w:t>
            </w:r>
            <w:r>
              <w:rPr>
                <w:rFonts w:hint="eastAsia" w:ascii="Times New Roman" w:hAnsi="Times New Roman" w:eastAsia="宋体" w:cs="Times New Roman"/>
                <w:sz w:val="24"/>
                <w:szCs w:val="24"/>
                <w:highlight w:val="none"/>
              </w:rPr>
              <w:t>的算术平均值作为评标基准</w:t>
            </w:r>
            <w:r>
              <w:rPr>
                <w:rFonts w:hint="eastAsia" w:ascii="Times New Roman" w:hAnsi="Times New Roman" w:eastAsia="宋体" w:cs="Times New Roman"/>
                <w:sz w:val="24"/>
                <w:szCs w:val="24"/>
                <w:highlight w:val="none"/>
                <w:lang w:eastAsia="zh-CN"/>
              </w:rPr>
              <w:t>下浮率</w:t>
            </w:r>
            <w:r>
              <w:rPr>
                <w:rFonts w:hint="eastAsia" w:ascii="Times New Roman" w:hAnsi="Times New Roman" w:eastAsia="宋体" w:cs="Times New Roman"/>
                <w:sz w:val="24"/>
                <w:szCs w:val="24"/>
                <w:highlight w:val="none"/>
              </w:rPr>
              <w:t>；当</w:t>
            </w:r>
            <w:r>
              <w:rPr>
                <w:rFonts w:hint="eastAsia" w:ascii="Times New Roman" w:hAnsi="Times New Roman" w:eastAsia="宋体" w:cs="Times New Roman"/>
                <w:sz w:val="24"/>
                <w:szCs w:val="24"/>
                <w:highlight w:val="none"/>
                <w:lang w:eastAsia="zh-CN"/>
              </w:rPr>
              <w:t>有效报价的</w:t>
            </w:r>
            <w:r>
              <w:rPr>
                <w:rFonts w:hint="eastAsia" w:ascii="Times New Roman" w:hAnsi="Times New Roman" w:eastAsia="宋体" w:cs="Times New Roman"/>
                <w:sz w:val="24"/>
                <w:szCs w:val="24"/>
                <w:highlight w:val="none"/>
              </w:rPr>
              <w:t>投标人小于5家时，取所有入围的投标</w:t>
            </w:r>
            <w:r>
              <w:rPr>
                <w:rFonts w:hint="eastAsia" w:cs="Times New Roman"/>
                <w:sz w:val="24"/>
                <w:szCs w:val="24"/>
                <w:highlight w:val="none"/>
                <w:lang w:eastAsia="zh-CN"/>
              </w:rPr>
              <w:t>下浮率</w:t>
            </w:r>
            <w:r>
              <w:rPr>
                <w:rFonts w:hint="eastAsia" w:ascii="Times New Roman" w:hAnsi="Times New Roman" w:eastAsia="宋体" w:cs="Times New Roman"/>
                <w:sz w:val="24"/>
                <w:szCs w:val="24"/>
                <w:highlight w:val="none"/>
              </w:rPr>
              <w:t>的算术平均值作为评标基准价</w:t>
            </w:r>
            <w:r>
              <w:rPr>
                <w:rFonts w:hint="eastAsia" w:ascii="Times New Roman" w:hAnsi="Times New Roman" w:eastAsia="宋体" w:cs="Times New Roman"/>
                <w:sz w:val="24"/>
                <w:szCs w:val="24"/>
                <w:highlight w:val="none"/>
                <w:lang w:eastAsia="zh-CN"/>
              </w:rPr>
              <w:t>下浮率</w:t>
            </w:r>
            <w:r>
              <w:rPr>
                <w:rFonts w:hint="eastAsia" w:ascii="Times New Roman" w:hAnsi="Times New Roman" w:eastAsia="宋体" w:cs="Times New Roman"/>
                <w:sz w:val="24"/>
                <w:szCs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64" w:hRule="atLeast"/>
        </w:trPr>
        <w:tc>
          <w:tcPr>
            <w:tcW w:w="951" w:type="dxa"/>
            <w:tcBorders>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color w:val="auto"/>
                <w:sz w:val="24"/>
                <w:szCs w:val="24"/>
                <w:highlight w:val="none"/>
                <w:lang w:eastAsia="zh-CN"/>
              </w:rPr>
            </w:pPr>
            <w:r>
              <w:rPr>
                <w:rFonts w:hint="eastAsia" w:cs="Times New Roman"/>
                <w:color w:val="auto"/>
                <w:sz w:val="24"/>
                <w:szCs w:val="24"/>
                <w:highlight w:val="none"/>
                <w:lang w:val="en-US" w:eastAsia="zh-CN"/>
              </w:rPr>
              <w:t>5</w:t>
            </w:r>
          </w:p>
        </w:tc>
        <w:tc>
          <w:tcPr>
            <w:tcW w:w="196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投标</w:t>
            </w:r>
            <w:r>
              <w:rPr>
                <w:rFonts w:hint="default" w:ascii="Times New Roman" w:hAnsi="Times New Roman" w:eastAsia="宋体" w:cs="Times New Roman"/>
                <w:color w:val="auto"/>
                <w:sz w:val="24"/>
                <w:szCs w:val="24"/>
                <w:highlight w:val="none"/>
                <w:lang w:eastAsia="zh-CN"/>
              </w:rPr>
              <w:t>下浮率</w:t>
            </w:r>
            <w:r>
              <w:rPr>
                <w:rFonts w:hint="default" w:ascii="Times New Roman" w:hAnsi="Times New Roman" w:eastAsia="宋体" w:cs="Times New Roman"/>
                <w:color w:val="auto"/>
                <w:sz w:val="24"/>
                <w:szCs w:val="24"/>
                <w:highlight w:val="none"/>
              </w:rPr>
              <w:t>的偏差率</w:t>
            </w:r>
          </w:p>
          <w:p>
            <w:pPr>
              <w:jc w:val="center"/>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计算公式</w:t>
            </w:r>
          </w:p>
        </w:tc>
        <w:tc>
          <w:tcPr>
            <w:tcW w:w="5685" w:type="dxa"/>
            <w:tcBorders>
              <w:top w:val="single" w:color="auto" w:sz="4" w:space="0"/>
              <w:left w:val="single" w:color="auto" w:sz="4" w:space="0"/>
              <w:bottom w:val="single" w:color="auto" w:sz="4" w:space="0"/>
              <w:right w:val="single" w:color="auto" w:sz="4" w:space="0"/>
            </w:tcBorders>
            <w:noWrap w:val="0"/>
            <w:vAlign w:val="center"/>
          </w:tcPr>
          <w:p>
            <w:pPr>
              <w:spacing w:line="406" w:lineRule="exact"/>
              <w:ind w:left="27" w:leftChars="13"/>
              <w:rPr>
                <w:rFonts w:hint="eastAsia" w:ascii="Times New Roman" w:hAnsi="Times New Roman" w:eastAsia="宋体" w:cs="Times New Roman"/>
                <w:color w:val="auto"/>
                <w:spacing w:val="-7"/>
                <w:sz w:val="24"/>
                <w:szCs w:val="24"/>
                <w:highlight w:val="none"/>
                <w:lang w:eastAsia="zh-CN"/>
              </w:rPr>
            </w:pPr>
            <w:r>
              <w:rPr>
                <w:rFonts w:hint="default" w:ascii="Times New Roman" w:hAnsi="Times New Roman" w:eastAsia="宋体" w:cs="Times New Roman"/>
                <w:color w:val="auto"/>
                <w:sz w:val="24"/>
                <w:szCs w:val="24"/>
                <w:highlight w:val="none"/>
              </w:rPr>
              <w:t>偏差率=∣投标报价</w:t>
            </w:r>
            <w:r>
              <w:rPr>
                <w:rFonts w:hint="default" w:ascii="Times New Roman" w:hAnsi="Times New Roman" w:eastAsia="宋体" w:cs="Times New Roman"/>
                <w:color w:val="auto"/>
                <w:sz w:val="24"/>
                <w:szCs w:val="24"/>
                <w:highlight w:val="none"/>
                <w:lang w:eastAsia="zh-CN"/>
              </w:rPr>
              <w:t>下浮率</w:t>
            </w:r>
            <w:r>
              <w:rPr>
                <w:rFonts w:hint="default" w:ascii="Times New Roman" w:hAnsi="Times New Roman" w:eastAsia="宋体" w:cs="Times New Roman"/>
                <w:color w:val="auto"/>
                <w:sz w:val="24"/>
                <w:szCs w:val="24"/>
                <w:highlight w:val="none"/>
              </w:rPr>
              <w:t>—评标基准</w:t>
            </w:r>
            <w:r>
              <w:rPr>
                <w:rFonts w:hint="default" w:ascii="Times New Roman" w:hAnsi="Times New Roman" w:eastAsia="宋体" w:cs="Times New Roman"/>
                <w:color w:val="auto"/>
                <w:sz w:val="24"/>
                <w:szCs w:val="24"/>
                <w:highlight w:val="none"/>
                <w:lang w:eastAsia="zh-CN"/>
              </w:rPr>
              <w:t>下浮率</w:t>
            </w:r>
            <w:r>
              <w:rPr>
                <w:rFonts w:hint="default" w:ascii="Times New Roman" w:hAnsi="Times New Roman" w:eastAsia="宋体" w:cs="Times New Roman"/>
                <w:color w:val="auto"/>
                <w:sz w:val="24"/>
                <w:szCs w:val="24"/>
                <w:highlight w:val="none"/>
              </w:rPr>
              <w:t>∣/评标基准</w:t>
            </w:r>
            <w:r>
              <w:rPr>
                <w:rFonts w:hint="default" w:ascii="Times New Roman" w:hAnsi="Times New Roman" w:eastAsia="宋体" w:cs="Times New Roman"/>
                <w:color w:val="auto"/>
                <w:sz w:val="24"/>
                <w:szCs w:val="24"/>
                <w:highlight w:val="none"/>
                <w:lang w:eastAsia="zh-CN"/>
              </w:rPr>
              <w:t>下浮率</w:t>
            </w:r>
            <w:r>
              <w:rPr>
                <w:rFonts w:hint="default" w:ascii="Times New Roman" w:hAnsi="Times New Roman" w:eastAsia="宋体" w:cs="Times New Roman"/>
                <w:color w:val="auto"/>
                <w:sz w:val="24"/>
                <w:szCs w:val="24"/>
                <w:highlight w:val="none"/>
              </w:rPr>
              <w:t>*100%（偏差率四舍五入保留1位小数，报价偏差率不足1%的，按直线内插法计算投标报价得分）</w:t>
            </w:r>
            <w:r>
              <w:rPr>
                <w:rFonts w:hint="eastAsia" w:cs="Times New Roman"/>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951" w:type="dxa"/>
            <w:vMerge w:val="restart"/>
            <w:tcBorders>
              <w:top w:val="single" w:color="auto" w:sz="4" w:space="0"/>
              <w:left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.1</w:t>
            </w:r>
          </w:p>
        </w:tc>
        <w:tc>
          <w:tcPr>
            <w:tcW w:w="885" w:type="dxa"/>
            <w:vMerge w:val="restart"/>
            <w:tcBorders>
              <w:top w:val="single" w:color="auto" w:sz="4" w:space="0"/>
              <w:left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4"/>
                <w:szCs w:val="24"/>
                <w:highlight w:val="none"/>
              </w:rPr>
            </w:pPr>
          </w:p>
          <w:p>
            <w:pPr>
              <w:widowControl/>
              <w:jc w:val="left"/>
              <w:rPr>
                <w:rFonts w:hint="default" w:ascii="Times New Roman" w:hAnsi="Times New Roman" w:eastAsia="宋体" w:cs="Times New Roman"/>
                <w:color w:val="auto"/>
                <w:sz w:val="24"/>
                <w:szCs w:val="24"/>
                <w:highlight w:val="none"/>
              </w:rPr>
            </w:pPr>
          </w:p>
          <w:p>
            <w:pPr>
              <w:widowControl/>
              <w:jc w:val="left"/>
              <w:rPr>
                <w:rFonts w:hint="default" w:ascii="Times New Roman" w:hAnsi="Times New Roman" w:eastAsia="宋体" w:cs="Times New Roman"/>
                <w:color w:val="auto"/>
                <w:sz w:val="24"/>
                <w:szCs w:val="24"/>
                <w:highlight w:val="none"/>
              </w:rPr>
            </w:pPr>
          </w:p>
          <w:p>
            <w:pPr>
              <w:widowControl/>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资信业绩部分</w:t>
            </w:r>
          </w:p>
          <w:p>
            <w:pPr>
              <w:widowControl/>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rPr>
              <w:t>分）</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企业诚信综合评价（</w:t>
            </w:r>
            <w:r>
              <w:rPr>
                <w:rFonts w:hint="default"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rPr>
              <w:t>分）</w:t>
            </w:r>
          </w:p>
        </w:tc>
        <w:tc>
          <w:tcPr>
            <w:tcW w:w="5685" w:type="dxa"/>
            <w:tcBorders>
              <w:top w:val="single" w:color="auto" w:sz="4" w:space="0"/>
              <w:left w:val="single" w:color="auto" w:sz="4" w:space="0"/>
              <w:bottom w:val="single" w:color="auto" w:sz="4" w:space="0"/>
              <w:right w:val="single" w:color="auto" w:sz="4" w:space="0"/>
            </w:tcBorders>
            <w:noWrap w:val="0"/>
            <w:vAlign w:val="top"/>
          </w:tcPr>
          <w:p>
            <w:pPr>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根据企业在广州市住房和城乡建设局网站企业诚信评价专栏上公布“造价咨询企业综合诚信评价排名”的“60日诚信分”</w:t>
            </w:r>
            <w:r>
              <w:rPr>
                <w:rFonts w:hint="eastAsia" w:cs="Times New Roman"/>
                <w:color w:val="auto"/>
                <w:sz w:val="24"/>
                <w:szCs w:val="24"/>
                <w:highlight w:val="none"/>
                <w:lang w:eastAsia="zh-CN"/>
              </w:rPr>
              <w:t>进行换算</w:t>
            </w:r>
            <w:r>
              <w:rPr>
                <w:rFonts w:hint="default" w:ascii="Times New Roman" w:hAnsi="Times New Roman" w:eastAsia="宋体" w:cs="Times New Roman"/>
                <w:color w:val="auto"/>
                <w:sz w:val="24"/>
                <w:szCs w:val="24"/>
                <w:highlight w:val="none"/>
              </w:rPr>
              <w:t>评分</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企业诚信综合评价</w:t>
            </w:r>
            <w:r>
              <w:rPr>
                <w:rFonts w:hint="eastAsia" w:cs="Times New Roman"/>
                <w:color w:val="auto"/>
                <w:sz w:val="24"/>
                <w:szCs w:val="24"/>
                <w:highlight w:val="none"/>
                <w:lang w:eastAsia="zh-CN"/>
              </w:rPr>
              <w:t>得分</w:t>
            </w:r>
            <w:r>
              <w:rPr>
                <w:rFonts w:hint="eastAsia" w:cs="Times New Roman"/>
                <w:color w:val="auto"/>
                <w:sz w:val="24"/>
                <w:szCs w:val="24"/>
                <w:highlight w:val="none"/>
                <w:lang w:val="en-US" w:eastAsia="zh-CN"/>
              </w:rPr>
              <w:t>=</w:t>
            </w:r>
            <w:r>
              <w:rPr>
                <w:rFonts w:hint="eastAsia" w:cs="Times New Roman"/>
                <w:color w:val="auto"/>
                <w:sz w:val="24"/>
                <w:szCs w:val="24"/>
                <w:highlight w:val="none"/>
                <w:lang w:eastAsia="zh-CN"/>
              </w:rPr>
              <w:t>询价当期“</w:t>
            </w:r>
            <w:r>
              <w:rPr>
                <w:rFonts w:hint="eastAsia" w:cs="Times New Roman"/>
                <w:color w:val="auto"/>
                <w:sz w:val="24"/>
                <w:szCs w:val="24"/>
                <w:highlight w:val="none"/>
                <w:lang w:val="en-US" w:eastAsia="zh-CN"/>
              </w:rPr>
              <w:t>60日诚信分</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/10（分）</w:t>
            </w:r>
            <w:r>
              <w:rPr>
                <w:rFonts w:hint="default" w:ascii="Times New Roman" w:hAnsi="Times New Roman" w:eastAsia="宋体" w:cs="Times New Roman"/>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4"/>
                <w:szCs w:val="24"/>
                <w:highlight w:val="none"/>
              </w:rPr>
            </w:pPr>
          </w:p>
        </w:tc>
        <w:tc>
          <w:tcPr>
            <w:tcW w:w="88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4"/>
                <w:szCs w:val="24"/>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企业同类</w:t>
            </w:r>
            <w:r>
              <w:rPr>
                <w:rFonts w:hint="default" w:ascii="Times New Roman" w:hAnsi="Times New Roman" w:eastAsia="宋体" w:cs="Times New Roman"/>
                <w:color w:val="auto"/>
                <w:sz w:val="24"/>
                <w:szCs w:val="24"/>
                <w:highlight w:val="none"/>
              </w:rPr>
              <w:t>业绩（1</w:t>
            </w:r>
            <w:r>
              <w:rPr>
                <w:rFonts w:hint="default" w:ascii="Times New Roman" w:hAnsi="Times New Roman" w:eastAsia="宋体"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rPr>
              <w:t>分）</w:t>
            </w:r>
          </w:p>
        </w:tc>
        <w:tc>
          <w:tcPr>
            <w:tcW w:w="5685" w:type="dxa"/>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201</w:t>
            </w:r>
            <w:r>
              <w:rPr>
                <w:rFonts w:hint="default"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年1月1 日至今承担过</w:t>
            </w:r>
            <w:r>
              <w:rPr>
                <w:rFonts w:hint="eastAsia" w:cs="Times New Roman"/>
                <w:color w:val="auto"/>
                <w:sz w:val="24"/>
                <w:szCs w:val="24"/>
                <w:highlight w:val="none"/>
                <w:lang w:eastAsia="zh-CN"/>
              </w:rPr>
              <w:t>建设</w:t>
            </w:r>
            <w:r>
              <w:rPr>
                <w:rFonts w:hint="default" w:ascii="Times New Roman" w:hAnsi="Times New Roman" w:eastAsia="宋体" w:cs="Times New Roman"/>
                <w:color w:val="auto"/>
                <w:sz w:val="24"/>
                <w:szCs w:val="24"/>
                <w:highlight w:val="none"/>
                <w:lang w:eastAsia="zh-CN"/>
              </w:rPr>
              <w:t>工程项目</w:t>
            </w:r>
            <w:r>
              <w:rPr>
                <w:rFonts w:hint="eastAsia" w:cs="Times New Roman"/>
                <w:color w:val="auto"/>
                <w:sz w:val="24"/>
                <w:szCs w:val="24"/>
                <w:highlight w:val="none"/>
                <w:lang w:eastAsia="zh-CN"/>
              </w:rPr>
              <w:t>金额</w:t>
            </w:r>
            <w:r>
              <w:rPr>
                <w:rFonts w:hint="default" w:ascii="Times New Roman" w:hAnsi="Times New Roman" w:eastAsia="宋体" w:cs="Times New Roman"/>
                <w:color w:val="auto"/>
                <w:sz w:val="24"/>
                <w:szCs w:val="24"/>
                <w:highlight w:val="none"/>
                <w:lang w:eastAsia="zh-CN"/>
              </w:rPr>
              <w:t>在</w:t>
            </w:r>
            <w:r>
              <w:rPr>
                <w:rFonts w:hint="default" w:ascii="Times New Roman" w:hAnsi="Times New Roman" w:eastAsia="宋体" w:cs="Times New Roman"/>
                <w:color w:val="auto"/>
                <w:sz w:val="24"/>
                <w:szCs w:val="24"/>
                <w:highlight w:val="none"/>
              </w:rPr>
              <w:t>1</w:t>
            </w:r>
            <w:r>
              <w:rPr>
                <w:rFonts w:hint="eastAsia"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rPr>
              <w:t>000万元（含）以上的工程造价咨询业绩的每个得</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分</w:t>
            </w:r>
            <w:r>
              <w:rPr>
                <w:rFonts w:hint="default"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在</w:t>
            </w:r>
            <w:r>
              <w:rPr>
                <w:rFonts w:hint="eastAsia" w:cs="Times New Roman"/>
                <w:color w:val="auto"/>
                <w:sz w:val="24"/>
                <w:szCs w:val="24"/>
                <w:highlight w:val="none"/>
                <w:lang w:val="en-US" w:eastAsia="zh-CN"/>
              </w:rPr>
              <w:t>[5000,10000）</w:t>
            </w:r>
            <w:r>
              <w:rPr>
                <w:rFonts w:hint="default" w:ascii="Times New Roman" w:hAnsi="Times New Roman" w:eastAsia="宋体" w:cs="Times New Roman"/>
                <w:color w:val="auto"/>
                <w:sz w:val="24"/>
                <w:szCs w:val="24"/>
                <w:highlight w:val="none"/>
              </w:rPr>
              <w:t>万元的工程造价咨询业绩的每个得</w:t>
            </w:r>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分</w:t>
            </w:r>
            <w:r>
              <w:rPr>
                <w:rFonts w:hint="default" w:cs="Times New Roman"/>
                <w:color w:val="auto"/>
                <w:sz w:val="24"/>
                <w:szCs w:val="24"/>
                <w:highlight w:val="none"/>
                <w:lang w:eastAsia="zh-CN"/>
              </w:rPr>
              <w:t>，最多得</w:t>
            </w:r>
            <w:r>
              <w:rPr>
                <w:rFonts w:hint="default" w:cs="Times New Roman"/>
                <w:color w:val="auto"/>
                <w:sz w:val="24"/>
                <w:szCs w:val="24"/>
                <w:highlight w:val="none"/>
                <w:lang w:val="en-US" w:eastAsia="zh-CN"/>
              </w:rPr>
              <w:t>6分</w:t>
            </w:r>
            <w:r>
              <w:rPr>
                <w:rFonts w:hint="default" w:ascii="Times New Roman" w:hAnsi="Times New Roman" w:eastAsia="宋体" w:cs="Times New Roman"/>
                <w:color w:val="auto"/>
                <w:sz w:val="24"/>
                <w:szCs w:val="24"/>
                <w:highlight w:val="none"/>
              </w:rPr>
              <w:t>；</w:t>
            </w:r>
          </w:p>
          <w:p>
            <w:pPr>
              <w:rPr>
                <w:rFonts w:hint="default" w:ascii="Times New Roman" w:hAnsi="Times New Roman" w:eastAsia="宋体"/>
                <w:b w:val="0"/>
                <w:color w:val="auto"/>
                <w:kern w:val="2"/>
                <w:sz w:val="24"/>
                <w:szCs w:val="24"/>
                <w:highlight w:val="none"/>
              </w:rPr>
            </w:pPr>
            <w:r>
              <w:rPr>
                <w:rFonts w:hint="default" w:ascii="Times New Roman" w:hAnsi="Times New Roman" w:eastAsia="宋体" w:cs="Times New Roman"/>
                <w:b w:val="0"/>
                <w:color w:val="auto"/>
                <w:kern w:val="2"/>
                <w:sz w:val="24"/>
                <w:szCs w:val="24"/>
                <w:highlight w:val="none"/>
              </w:rPr>
              <w:t>201</w:t>
            </w:r>
            <w:r>
              <w:rPr>
                <w:rFonts w:hint="default" w:ascii="Times New Roman" w:hAnsi="Times New Roman" w:eastAsia="宋体" w:cs="Times New Roman"/>
                <w:b w:val="0"/>
                <w:color w:val="auto"/>
                <w:kern w:val="2"/>
                <w:sz w:val="24"/>
                <w:szCs w:val="24"/>
                <w:highlight w:val="none"/>
                <w:lang w:val="en-US" w:eastAsia="zh-CN"/>
              </w:rPr>
              <w:t>8</w:t>
            </w:r>
            <w:r>
              <w:rPr>
                <w:rFonts w:hint="default" w:ascii="Times New Roman" w:hAnsi="Times New Roman" w:eastAsia="宋体" w:cs="Times New Roman"/>
                <w:b w:val="0"/>
                <w:color w:val="auto"/>
                <w:kern w:val="2"/>
                <w:sz w:val="24"/>
                <w:szCs w:val="24"/>
                <w:highlight w:val="none"/>
              </w:rPr>
              <w:t>年1月1 日至今承担</w:t>
            </w:r>
            <w:r>
              <w:rPr>
                <w:rFonts w:hint="eastAsia" w:cs="Times New Roman"/>
                <w:b w:val="0"/>
                <w:color w:val="auto"/>
                <w:kern w:val="2"/>
                <w:sz w:val="24"/>
                <w:szCs w:val="24"/>
                <w:highlight w:val="none"/>
                <w:lang w:eastAsia="zh-CN"/>
              </w:rPr>
              <w:t>过同类项目（含资格合同）</w:t>
            </w:r>
            <w:r>
              <w:rPr>
                <w:rFonts w:hint="eastAsia" w:cs="Times New Roman"/>
                <w:b w:val="0"/>
                <w:color w:val="auto"/>
                <w:kern w:val="2"/>
                <w:sz w:val="24"/>
                <w:szCs w:val="24"/>
                <w:highlight w:val="none"/>
                <w:lang w:val="en-US" w:eastAsia="zh-CN"/>
              </w:rPr>
              <w:t>的预算、结算业绩，资格合同每个得2分，房屋建筑修缮类预、结算每个得0.5分（资格合同范围内的项目不重复计分），最多得4分；</w:t>
            </w:r>
          </w:p>
          <w:p>
            <w:pPr>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以上合计最多得1</w:t>
            </w:r>
            <w:r>
              <w:rPr>
                <w:rFonts w:hint="default" w:ascii="Times New Roman" w:hAnsi="Times New Roman" w:eastAsia="宋体"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rPr>
              <w:t>分。</w:t>
            </w:r>
          </w:p>
          <w:p>
            <w:pP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业绩</w:t>
            </w:r>
            <w:r>
              <w:rPr>
                <w:rFonts w:hint="default" w:ascii="Times New Roman" w:hAnsi="Times New Roman" w:eastAsia="宋体" w:cs="Times New Roman"/>
                <w:color w:val="auto"/>
                <w:sz w:val="24"/>
                <w:szCs w:val="24"/>
                <w:highlight w:val="none"/>
              </w:rPr>
              <w:t>证明材料：提供咨询合同和咨询成果复印件加盖公章。咨询成果可以是经业主或委托方确认的咨询报告、定案表（概算或预算结算阶段均可）、业主评价意见表等，时间、造价均以咨询成果为准。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方案部分</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50</w:t>
            </w:r>
            <w:r>
              <w:rPr>
                <w:rFonts w:hint="eastAsia" w:cs="Times New Roman"/>
                <w:color w:val="auto"/>
                <w:sz w:val="24"/>
                <w:szCs w:val="24"/>
                <w:highlight w:val="none"/>
                <w:lang w:val="en-US" w:eastAsia="zh-CN"/>
              </w:rPr>
              <w:t>分)</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评审工作方案</w:t>
            </w:r>
          </w:p>
        </w:tc>
        <w:tc>
          <w:tcPr>
            <w:tcW w:w="5685"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人员配置</w:t>
            </w:r>
            <w:r>
              <w:rPr>
                <w:rFonts w:hint="eastAsia" w:cs="Times New Roman"/>
                <w:color w:val="auto"/>
                <w:sz w:val="24"/>
                <w:szCs w:val="24"/>
                <w:highlight w:val="none"/>
                <w:lang w:eastAsia="zh-CN"/>
              </w:rPr>
              <w:t>优于</w:t>
            </w:r>
            <w:r>
              <w:rPr>
                <w:rFonts w:hint="default" w:ascii="Times New Roman" w:hAnsi="Times New Roman" w:eastAsia="宋体" w:cs="Times New Roman"/>
                <w:color w:val="auto"/>
                <w:sz w:val="24"/>
                <w:szCs w:val="24"/>
                <w:highlight w:val="none"/>
                <w:lang w:eastAsia="zh-CN"/>
              </w:rPr>
              <w:t>公告中“服务要求”</w:t>
            </w:r>
            <w:r>
              <w:rPr>
                <w:rFonts w:hint="eastAsia" w:cs="Times New Roman"/>
                <w:color w:val="auto"/>
                <w:sz w:val="24"/>
                <w:szCs w:val="24"/>
                <w:highlight w:val="none"/>
                <w:lang w:eastAsia="zh-CN"/>
              </w:rPr>
              <w:t>的</w:t>
            </w:r>
            <w:r>
              <w:rPr>
                <w:rFonts w:hint="default" w:ascii="Times New Roman" w:hAnsi="Times New Roman" w:eastAsia="宋体" w:cs="Times New Roman"/>
                <w:color w:val="auto"/>
                <w:sz w:val="24"/>
                <w:szCs w:val="24"/>
                <w:highlight w:val="none"/>
                <w:lang w:eastAsia="zh-CN"/>
              </w:rPr>
              <w:t>，得</w:t>
            </w:r>
            <w:r>
              <w:rPr>
                <w:rFonts w:hint="eastAsia"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val="en-US" w:eastAsia="zh-CN"/>
              </w:rPr>
              <w:t>分；</w:t>
            </w:r>
            <w:r>
              <w:rPr>
                <w:rFonts w:hint="default" w:ascii="Times New Roman" w:hAnsi="Times New Roman" w:eastAsia="宋体" w:cs="Times New Roman"/>
                <w:color w:val="auto"/>
                <w:sz w:val="24"/>
                <w:szCs w:val="24"/>
                <w:highlight w:val="none"/>
                <w:lang w:eastAsia="zh-CN"/>
              </w:rPr>
              <w:t>人员配置</w:t>
            </w:r>
            <w:r>
              <w:rPr>
                <w:rFonts w:hint="eastAsia" w:cs="Times New Roman"/>
                <w:color w:val="auto"/>
                <w:sz w:val="24"/>
                <w:szCs w:val="24"/>
                <w:highlight w:val="none"/>
                <w:lang w:eastAsia="zh-CN"/>
              </w:rPr>
              <w:t>符合</w:t>
            </w:r>
            <w:r>
              <w:rPr>
                <w:rFonts w:hint="default" w:ascii="Times New Roman" w:hAnsi="Times New Roman" w:eastAsia="宋体" w:cs="Times New Roman"/>
                <w:color w:val="auto"/>
                <w:sz w:val="24"/>
                <w:szCs w:val="24"/>
                <w:highlight w:val="none"/>
                <w:lang w:eastAsia="zh-CN"/>
              </w:rPr>
              <w:t>公告中“服务要求”</w:t>
            </w:r>
            <w:r>
              <w:rPr>
                <w:rFonts w:hint="eastAsia" w:cs="Times New Roman"/>
                <w:color w:val="auto"/>
                <w:sz w:val="24"/>
                <w:szCs w:val="24"/>
                <w:highlight w:val="none"/>
                <w:lang w:eastAsia="zh-CN"/>
              </w:rPr>
              <w:t>的</w:t>
            </w:r>
            <w:r>
              <w:rPr>
                <w:rFonts w:hint="default" w:ascii="Times New Roman" w:hAnsi="Times New Roman" w:eastAsia="宋体" w:cs="Times New Roman"/>
                <w:color w:val="auto"/>
                <w:sz w:val="24"/>
                <w:szCs w:val="24"/>
                <w:highlight w:val="none"/>
                <w:lang w:eastAsia="zh-CN"/>
              </w:rPr>
              <w:t>，得</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分；</w:t>
            </w:r>
            <w:r>
              <w:rPr>
                <w:rFonts w:hint="default" w:ascii="Times New Roman" w:hAnsi="Times New Roman" w:eastAsia="宋体" w:cs="Times New Roman"/>
                <w:color w:val="auto"/>
                <w:sz w:val="24"/>
                <w:szCs w:val="24"/>
                <w:highlight w:val="none"/>
                <w:lang w:eastAsia="zh-CN"/>
              </w:rPr>
              <w:t>人员配置不</w:t>
            </w:r>
            <w:r>
              <w:rPr>
                <w:rFonts w:hint="eastAsia" w:cs="Times New Roman"/>
                <w:color w:val="auto"/>
                <w:sz w:val="24"/>
                <w:szCs w:val="24"/>
                <w:highlight w:val="none"/>
                <w:lang w:eastAsia="zh-CN"/>
              </w:rPr>
              <w:t>符合的，</w:t>
            </w:r>
            <w:r>
              <w:rPr>
                <w:rFonts w:hint="default" w:ascii="Times New Roman" w:hAnsi="Times New Roman" w:eastAsia="宋体" w:cs="Times New Roman"/>
                <w:color w:val="auto"/>
                <w:sz w:val="24"/>
                <w:szCs w:val="24"/>
                <w:highlight w:val="none"/>
                <w:lang w:eastAsia="zh-CN"/>
              </w:rPr>
              <w:t>得</w:t>
            </w:r>
            <w:r>
              <w:rPr>
                <w:rFonts w:hint="eastAsia"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lang w:val="en-US" w:eastAsia="zh-CN"/>
              </w:rPr>
              <w:t>分。</w:t>
            </w:r>
          </w:p>
          <w:p>
            <w:pPr>
              <w:rPr>
                <w:rFonts w:hint="default" w:ascii="Times New Roman" w:hAnsi="Times New Roman" w:eastAsia="宋体" w:cs="Times New Roman"/>
                <w:sz w:val="24"/>
                <w:szCs w:val="24"/>
                <w:highlight w:val="none"/>
                <w:lang w:val="en-US" w:eastAsia="zh-CN"/>
              </w:rPr>
            </w:pPr>
            <w:r>
              <w:rPr>
                <w:rFonts w:hint="eastAsia" w:cs="Times New Roman"/>
                <w:sz w:val="24"/>
                <w:szCs w:val="24"/>
                <w:highlight w:val="none"/>
                <w:lang w:eastAsia="zh-CN"/>
              </w:rPr>
              <w:t>各咨询人的</w:t>
            </w:r>
            <w:r>
              <w:rPr>
                <w:rFonts w:hint="default" w:ascii="Times New Roman" w:hAnsi="Times New Roman" w:eastAsia="宋体" w:cs="Times New Roman"/>
                <w:sz w:val="24"/>
                <w:szCs w:val="24"/>
                <w:highlight w:val="none"/>
                <w:lang w:eastAsia="zh-CN"/>
              </w:rPr>
              <w:t>审核方法</w:t>
            </w:r>
            <w:r>
              <w:rPr>
                <w:rFonts w:hint="eastAsia" w:cs="Times New Roman"/>
                <w:sz w:val="24"/>
                <w:szCs w:val="24"/>
                <w:highlight w:val="none"/>
                <w:lang w:eastAsia="zh-CN"/>
              </w:rPr>
              <w:t>横向比较，完善的</w:t>
            </w:r>
            <w:r>
              <w:rPr>
                <w:rFonts w:hint="default" w:ascii="Times New Roman" w:hAnsi="Times New Roman" w:eastAsia="宋体" w:cs="Times New Roman"/>
                <w:sz w:val="24"/>
                <w:szCs w:val="24"/>
                <w:highlight w:val="none"/>
                <w:lang w:eastAsia="zh-CN"/>
              </w:rPr>
              <w:t>，得</w:t>
            </w:r>
            <w:r>
              <w:rPr>
                <w:rFonts w:hint="eastAsia" w:cs="Times New Roman"/>
                <w:sz w:val="24"/>
                <w:szCs w:val="24"/>
                <w:highlight w:val="none"/>
                <w:lang w:val="en-US" w:eastAsia="zh-CN"/>
              </w:rPr>
              <w:t>10</w:t>
            </w:r>
            <w:r>
              <w:rPr>
                <w:rFonts w:hint="default" w:ascii="Times New Roman" w:hAnsi="Times New Roman" w:eastAsia="宋体" w:cs="Times New Roman"/>
                <w:sz w:val="24"/>
                <w:szCs w:val="24"/>
                <w:highlight w:val="none"/>
                <w:lang w:val="en-US" w:eastAsia="zh-CN"/>
              </w:rPr>
              <w:t>分；</w:t>
            </w:r>
            <w:r>
              <w:rPr>
                <w:rFonts w:hint="eastAsia" w:cs="Times New Roman"/>
                <w:sz w:val="24"/>
                <w:szCs w:val="24"/>
                <w:highlight w:val="none"/>
                <w:lang w:eastAsia="zh-CN"/>
              </w:rPr>
              <w:t>较完善的</w:t>
            </w:r>
            <w:r>
              <w:rPr>
                <w:rFonts w:hint="default" w:ascii="Times New Roman" w:hAnsi="Times New Roman" w:eastAsia="宋体" w:cs="Times New Roman"/>
                <w:sz w:val="24"/>
                <w:szCs w:val="24"/>
                <w:highlight w:val="none"/>
                <w:lang w:eastAsia="zh-CN"/>
              </w:rPr>
              <w:t>，得</w:t>
            </w:r>
            <w:r>
              <w:rPr>
                <w:rFonts w:hint="eastAsia" w:cs="Times New Roman"/>
                <w:sz w:val="24"/>
                <w:szCs w:val="24"/>
                <w:highlight w:val="none"/>
                <w:lang w:val="en-US" w:eastAsia="zh-CN"/>
              </w:rPr>
              <w:t>6</w:t>
            </w:r>
            <w:r>
              <w:rPr>
                <w:rFonts w:hint="default" w:ascii="Times New Roman" w:hAnsi="Times New Roman" w:eastAsia="宋体" w:cs="Times New Roman"/>
                <w:sz w:val="24"/>
                <w:szCs w:val="24"/>
                <w:highlight w:val="none"/>
                <w:lang w:val="en-US" w:eastAsia="zh-CN"/>
              </w:rPr>
              <w:t>分；</w:t>
            </w:r>
            <w:r>
              <w:rPr>
                <w:rFonts w:hint="eastAsia" w:cs="Times New Roman"/>
                <w:sz w:val="24"/>
                <w:szCs w:val="24"/>
                <w:highlight w:val="none"/>
                <w:lang w:eastAsia="zh-CN"/>
              </w:rPr>
              <w:t>不完善的，</w:t>
            </w:r>
            <w:r>
              <w:rPr>
                <w:rFonts w:hint="default" w:ascii="Times New Roman" w:hAnsi="Times New Roman" w:eastAsia="宋体" w:cs="Times New Roman"/>
                <w:sz w:val="24"/>
                <w:szCs w:val="24"/>
                <w:highlight w:val="none"/>
                <w:lang w:eastAsia="zh-CN"/>
              </w:rPr>
              <w:t>得</w:t>
            </w:r>
            <w:r>
              <w:rPr>
                <w:rFonts w:hint="eastAsia" w:cs="Times New Roman"/>
                <w:sz w:val="24"/>
                <w:szCs w:val="24"/>
                <w:highlight w:val="none"/>
                <w:lang w:val="en-US" w:eastAsia="zh-CN"/>
              </w:rPr>
              <w:t>2</w:t>
            </w:r>
            <w:r>
              <w:rPr>
                <w:rFonts w:hint="default" w:ascii="Times New Roman" w:hAnsi="Times New Roman" w:eastAsia="宋体" w:cs="Times New Roman"/>
                <w:sz w:val="24"/>
                <w:szCs w:val="24"/>
                <w:highlight w:val="none"/>
                <w:lang w:val="en-US" w:eastAsia="zh-CN"/>
              </w:rPr>
              <w:t>分。</w:t>
            </w:r>
          </w:p>
          <w:p>
            <w:pPr>
              <w:rPr>
                <w:rFonts w:hint="default" w:ascii="Times New Roman" w:hAnsi="Times New Roman" w:eastAsia="宋体" w:cs="Times New Roman"/>
                <w:sz w:val="24"/>
                <w:szCs w:val="24"/>
                <w:highlight w:val="none"/>
                <w:lang w:val="en-US" w:eastAsia="zh-CN"/>
              </w:rPr>
            </w:pPr>
            <w:r>
              <w:rPr>
                <w:rFonts w:hint="eastAsia" w:cs="Times New Roman"/>
                <w:sz w:val="24"/>
                <w:szCs w:val="24"/>
                <w:highlight w:val="none"/>
                <w:lang w:eastAsia="zh-CN"/>
              </w:rPr>
              <w:t>各咨询人的</w:t>
            </w:r>
            <w:r>
              <w:rPr>
                <w:rFonts w:hint="eastAsia" w:cs="Times New Roman"/>
                <w:color w:val="auto"/>
                <w:sz w:val="24"/>
                <w:szCs w:val="24"/>
                <w:highlight w:val="none"/>
                <w:lang w:eastAsia="zh-CN"/>
              </w:rPr>
              <w:t>复</w:t>
            </w:r>
            <w:r>
              <w:rPr>
                <w:rFonts w:hint="default" w:ascii="Times New Roman" w:hAnsi="Times New Roman" w:eastAsia="宋体" w:cs="Times New Roman"/>
                <w:sz w:val="24"/>
                <w:szCs w:val="24"/>
                <w:highlight w:val="none"/>
                <w:lang w:eastAsia="zh-CN"/>
              </w:rPr>
              <w:t>核</w:t>
            </w:r>
            <w:r>
              <w:rPr>
                <w:rFonts w:hint="eastAsia" w:cs="Times New Roman"/>
                <w:sz w:val="24"/>
                <w:szCs w:val="24"/>
                <w:highlight w:val="none"/>
                <w:lang w:eastAsia="zh-CN"/>
              </w:rPr>
              <w:t>制度横向比较，完善的</w:t>
            </w:r>
            <w:r>
              <w:rPr>
                <w:rFonts w:hint="default" w:ascii="Times New Roman" w:hAnsi="Times New Roman" w:eastAsia="宋体" w:cs="Times New Roman"/>
                <w:sz w:val="24"/>
                <w:szCs w:val="24"/>
                <w:highlight w:val="none"/>
                <w:lang w:eastAsia="zh-CN"/>
              </w:rPr>
              <w:t>，得</w:t>
            </w:r>
            <w:r>
              <w:rPr>
                <w:rFonts w:hint="eastAsia" w:cs="Times New Roman"/>
                <w:sz w:val="24"/>
                <w:szCs w:val="24"/>
                <w:highlight w:val="none"/>
                <w:lang w:val="en-US" w:eastAsia="zh-CN"/>
              </w:rPr>
              <w:t>10</w:t>
            </w:r>
            <w:r>
              <w:rPr>
                <w:rFonts w:hint="default" w:ascii="Times New Roman" w:hAnsi="Times New Roman" w:eastAsia="宋体" w:cs="Times New Roman"/>
                <w:sz w:val="24"/>
                <w:szCs w:val="24"/>
                <w:highlight w:val="none"/>
                <w:lang w:val="en-US" w:eastAsia="zh-CN"/>
              </w:rPr>
              <w:t>分；</w:t>
            </w:r>
            <w:r>
              <w:rPr>
                <w:rFonts w:hint="eastAsia" w:cs="Times New Roman"/>
                <w:sz w:val="24"/>
                <w:szCs w:val="24"/>
                <w:highlight w:val="none"/>
                <w:lang w:eastAsia="zh-CN"/>
              </w:rPr>
              <w:t>较完善的</w:t>
            </w:r>
            <w:r>
              <w:rPr>
                <w:rFonts w:hint="default" w:ascii="Times New Roman" w:hAnsi="Times New Roman" w:eastAsia="宋体" w:cs="Times New Roman"/>
                <w:sz w:val="24"/>
                <w:szCs w:val="24"/>
                <w:highlight w:val="none"/>
                <w:lang w:eastAsia="zh-CN"/>
              </w:rPr>
              <w:t>，得</w:t>
            </w:r>
            <w:r>
              <w:rPr>
                <w:rFonts w:hint="eastAsia" w:cs="Times New Roman"/>
                <w:sz w:val="24"/>
                <w:szCs w:val="24"/>
                <w:highlight w:val="none"/>
                <w:lang w:val="en-US" w:eastAsia="zh-CN"/>
              </w:rPr>
              <w:t>6</w:t>
            </w:r>
            <w:r>
              <w:rPr>
                <w:rFonts w:hint="default" w:ascii="Times New Roman" w:hAnsi="Times New Roman" w:eastAsia="宋体" w:cs="Times New Roman"/>
                <w:sz w:val="24"/>
                <w:szCs w:val="24"/>
                <w:highlight w:val="none"/>
                <w:lang w:val="en-US" w:eastAsia="zh-CN"/>
              </w:rPr>
              <w:t>分；</w:t>
            </w:r>
            <w:r>
              <w:rPr>
                <w:rFonts w:hint="eastAsia" w:cs="Times New Roman"/>
                <w:sz w:val="24"/>
                <w:szCs w:val="24"/>
                <w:highlight w:val="none"/>
                <w:lang w:eastAsia="zh-CN"/>
              </w:rPr>
              <w:t>不完善的，</w:t>
            </w:r>
            <w:r>
              <w:rPr>
                <w:rFonts w:hint="default" w:ascii="Times New Roman" w:hAnsi="Times New Roman" w:eastAsia="宋体" w:cs="Times New Roman"/>
                <w:sz w:val="24"/>
                <w:szCs w:val="24"/>
                <w:highlight w:val="none"/>
                <w:lang w:eastAsia="zh-CN"/>
              </w:rPr>
              <w:t>得</w:t>
            </w:r>
            <w:r>
              <w:rPr>
                <w:rFonts w:hint="eastAsia" w:cs="Times New Roman"/>
                <w:sz w:val="24"/>
                <w:szCs w:val="24"/>
                <w:highlight w:val="none"/>
                <w:lang w:val="en-US" w:eastAsia="zh-CN"/>
              </w:rPr>
              <w:t>2</w:t>
            </w:r>
            <w:r>
              <w:rPr>
                <w:rFonts w:hint="default" w:ascii="Times New Roman" w:hAnsi="Times New Roman" w:eastAsia="宋体" w:cs="Times New Roman"/>
                <w:sz w:val="24"/>
                <w:szCs w:val="24"/>
                <w:highlight w:val="none"/>
                <w:lang w:val="en-US" w:eastAsia="zh-CN"/>
              </w:rPr>
              <w:t>分。</w:t>
            </w:r>
          </w:p>
          <w:p>
            <w:pPr>
              <w:rPr>
                <w:rFonts w:hint="default" w:ascii="Times New Roman" w:hAnsi="Times New Roman" w:eastAsia="宋体" w:cs="Times New Roman"/>
                <w:color w:val="auto"/>
                <w:sz w:val="24"/>
                <w:szCs w:val="24"/>
                <w:highlight w:val="none"/>
                <w:lang w:val="en-US" w:eastAsia="zh-CN"/>
              </w:rPr>
            </w:pPr>
            <w:r>
              <w:rPr>
                <w:rFonts w:hint="eastAsia" w:cs="Times New Roman"/>
                <w:sz w:val="24"/>
                <w:szCs w:val="24"/>
                <w:highlight w:val="none"/>
                <w:lang w:eastAsia="zh-CN"/>
              </w:rPr>
              <w:t>各咨询人的</w:t>
            </w:r>
            <w:r>
              <w:rPr>
                <w:rFonts w:hint="default" w:ascii="Times New Roman" w:hAnsi="Times New Roman" w:eastAsia="宋体" w:cs="Times New Roman"/>
                <w:sz w:val="24"/>
                <w:szCs w:val="24"/>
                <w:highlight w:val="none"/>
                <w:lang w:eastAsia="zh-CN"/>
              </w:rPr>
              <w:t>加快评审时间及保证评审质量的措施</w:t>
            </w:r>
            <w:r>
              <w:rPr>
                <w:rFonts w:hint="eastAsia" w:cs="Times New Roman"/>
                <w:sz w:val="24"/>
                <w:szCs w:val="24"/>
                <w:highlight w:val="none"/>
                <w:lang w:eastAsia="zh-CN"/>
              </w:rPr>
              <w:t>横向比较，完善的</w:t>
            </w:r>
            <w:r>
              <w:rPr>
                <w:rFonts w:hint="default" w:ascii="Times New Roman" w:hAnsi="Times New Roman" w:eastAsia="宋体" w:cs="Times New Roman"/>
                <w:sz w:val="24"/>
                <w:szCs w:val="24"/>
                <w:highlight w:val="none"/>
                <w:lang w:eastAsia="zh-CN"/>
              </w:rPr>
              <w:t>，得</w:t>
            </w:r>
            <w:r>
              <w:rPr>
                <w:rFonts w:hint="eastAsia" w:cs="Times New Roman"/>
                <w:sz w:val="24"/>
                <w:szCs w:val="24"/>
                <w:highlight w:val="none"/>
                <w:lang w:val="en-US" w:eastAsia="zh-CN"/>
              </w:rPr>
              <w:t>20</w:t>
            </w:r>
            <w:r>
              <w:rPr>
                <w:rFonts w:hint="default" w:ascii="Times New Roman" w:hAnsi="Times New Roman" w:eastAsia="宋体" w:cs="Times New Roman"/>
                <w:sz w:val="24"/>
                <w:szCs w:val="24"/>
                <w:highlight w:val="none"/>
                <w:lang w:val="en-US" w:eastAsia="zh-CN"/>
              </w:rPr>
              <w:t>分；</w:t>
            </w:r>
            <w:r>
              <w:rPr>
                <w:rFonts w:hint="eastAsia" w:cs="Times New Roman"/>
                <w:sz w:val="24"/>
                <w:szCs w:val="24"/>
                <w:highlight w:val="none"/>
                <w:lang w:eastAsia="zh-CN"/>
              </w:rPr>
              <w:t>较完善的</w:t>
            </w:r>
            <w:r>
              <w:rPr>
                <w:rFonts w:hint="default" w:ascii="Times New Roman" w:hAnsi="Times New Roman" w:eastAsia="宋体" w:cs="Times New Roman"/>
                <w:sz w:val="24"/>
                <w:szCs w:val="24"/>
                <w:highlight w:val="none"/>
                <w:lang w:eastAsia="zh-CN"/>
              </w:rPr>
              <w:t>，得</w:t>
            </w:r>
            <w:r>
              <w:rPr>
                <w:rFonts w:hint="eastAsia" w:cs="Times New Roman"/>
                <w:sz w:val="24"/>
                <w:szCs w:val="24"/>
                <w:highlight w:val="none"/>
                <w:lang w:val="en-US" w:eastAsia="zh-CN"/>
              </w:rPr>
              <w:t>12</w:t>
            </w:r>
            <w:r>
              <w:rPr>
                <w:rFonts w:hint="default" w:ascii="Times New Roman" w:hAnsi="Times New Roman" w:eastAsia="宋体" w:cs="Times New Roman"/>
                <w:sz w:val="24"/>
                <w:szCs w:val="24"/>
                <w:highlight w:val="none"/>
                <w:lang w:val="en-US" w:eastAsia="zh-CN"/>
              </w:rPr>
              <w:t>分；</w:t>
            </w:r>
            <w:r>
              <w:rPr>
                <w:rFonts w:hint="eastAsia" w:cs="Times New Roman"/>
                <w:sz w:val="24"/>
                <w:szCs w:val="24"/>
                <w:highlight w:val="none"/>
                <w:lang w:eastAsia="zh-CN"/>
              </w:rPr>
              <w:t>不完善的，</w:t>
            </w:r>
            <w:r>
              <w:rPr>
                <w:rFonts w:hint="default" w:ascii="Times New Roman" w:hAnsi="Times New Roman" w:eastAsia="宋体" w:cs="Times New Roman"/>
                <w:sz w:val="24"/>
                <w:szCs w:val="24"/>
                <w:highlight w:val="none"/>
                <w:lang w:eastAsia="zh-CN"/>
              </w:rPr>
              <w:t>得</w:t>
            </w:r>
            <w:r>
              <w:rPr>
                <w:rFonts w:hint="eastAsia" w:cs="Times New Roman"/>
                <w:sz w:val="24"/>
                <w:szCs w:val="24"/>
                <w:highlight w:val="none"/>
                <w:lang w:val="en-US" w:eastAsia="zh-CN"/>
              </w:rPr>
              <w:t>4</w:t>
            </w:r>
            <w:r>
              <w:rPr>
                <w:rFonts w:hint="default" w:ascii="Times New Roman" w:hAnsi="Times New Roman" w:eastAsia="宋体" w:cs="Times New Roman"/>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.3</w:t>
            </w:r>
          </w:p>
        </w:tc>
        <w:tc>
          <w:tcPr>
            <w:tcW w:w="8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rPr>
              <w:t>价格部分（</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0分）</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rPr>
              <w:t>报价得分</w:t>
            </w:r>
          </w:p>
        </w:tc>
        <w:tc>
          <w:tcPr>
            <w:tcW w:w="5685"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当有效投标</w:t>
            </w:r>
            <w:r>
              <w:rPr>
                <w:rFonts w:hint="eastAsia" w:cs="Times New Roman"/>
                <w:color w:val="auto"/>
                <w:sz w:val="24"/>
                <w:szCs w:val="24"/>
                <w:highlight w:val="none"/>
                <w:lang w:eastAsia="zh-CN"/>
              </w:rPr>
              <w:t>下浮率</w:t>
            </w:r>
            <w:r>
              <w:rPr>
                <w:rFonts w:hint="default" w:ascii="Times New Roman" w:hAnsi="Times New Roman" w:eastAsia="宋体" w:cs="Times New Roman"/>
                <w:color w:val="auto"/>
                <w:sz w:val="24"/>
                <w:szCs w:val="24"/>
                <w:highlight w:val="none"/>
              </w:rPr>
              <w:t>等于评标基准</w:t>
            </w:r>
            <w:r>
              <w:rPr>
                <w:rFonts w:hint="eastAsia" w:cs="Times New Roman"/>
                <w:color w:val="auto"/>
                <w:sz w:val="24"/>
                <w:szCs w:val="24"/>
                <w:highlight w:val="none"/>
                <w:lang w:eastAsia="zh-CN"/>
              </w:rPr>
              <w:t>下浮率</w:t>
            </w:r>
            <w:r>
              <w:rPr>
                <w:rFonts w:hint="default" w:ascii="Times New Roman" w:hAnsi="Times New Roman" w:eastAsia="宋体" w:cs="Times New Roman"/>
                <w:color w:val="auto"/>
                <w:sz w:val="24"/>
                <w:szCs w:val="24"/>
                <w:highlight w:val="none"/>
              </w:rPr>
              <w:t>时得</w:t>
            </w:r>
            <w:r>
              <w:rPr>
                <w:rFonts w:hint="eastAsia"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rPr>
              <w:t>分；有效投</w:t>
            </w:r>
            <w:r>
              <w:rPr>
                <w:rFonts w:hint="eastAsia" w:cs="Times New Roman"/>
                <w:color w:val="auto"/>
                <w:sz w:val="24"/>
                <w:szCs w:val="24"/>
                <w:highlight w:val="none"/>
                <w:lang w:eastAsia="zh-CN"/>
              </w:rPr>
              <w:t>标下浮率大于</w:t>
            </w:r>
            <w:r>
              <w:rPr>
                <w:rFonts w:hint="default" w:ascii="Times New Roman" w:hAnsi="Times New Roman" w:eastAsia="宋体" w:cs="Times New Roman"/>
                <w:color w:val="auto"/>
                <w:sz w:val="24"/>
                <w:szCs w:val="24"/>
                <w:highlight w:val="none"/>
              </w:rPr>
              <w:t>评标基准</w:t>
            </w:r>
            <w:r>
              <w:rPr>
                <w:rFonts w:hint="eastAsia" w:cs="Times New Roman"/>
                <w:color w:val="auto"/>
                <w:sz w:val="24"/>
                <w:szCs w:val="24"/>
                <w:highlight w:val="none"/>
                <w:lang w:eastAsia="zh-CN"/>
              </w:rPr>
              <w:t>下浮率的</w:t>
            </w:r>
            <w:r>
              <w:rPr>
                <w:rFonts w:hint="default" w:ascii="Times New Roman" w:hAnsi="Times New Roman" w:eastAsia="宋体" w:cs="Times New Roman"/>
                <w:color w:val="auto"/>
                <w:sz w:val="24"/>
                <w:szCs w:val="24"/>
                <w:highlight w:val="none"/>
              </w:rPr>
              <w:t>，偏差率每1%扣</w:t>
            </w:r>
            <w:r>
              <w:rPr>
                <w:rFonts w:hint="eastAsia" w:cs="Times New Roman"/>
                <w:color w:val="auto"/>
                <w:sz w:val="24"/>
                <w:szCs w:val="24"/>
                <w:highlight w:val="none"/>
                <w:lang w:val="en-US" w:eastAsia="zh-CN"/>
              </w:rPr>
              <w:t>0.8</w:t>
            </w:r>
            <w:r>
              <w:rPr>
                <w:rFonts w:hint="default" w:ascii="Times New Roman" w:hAnsi="Times New Roman" w:eastAsia="宋体" w:cs="Times New Roman"/>
                <w:color w:val="auto"/>
                <w:sz w:val="24"/>
                <w:szCs w:val="24"/>
                <w:highlight w:val="none"/>
              </w:rPr>
              <w:t>分，</w:t>
            </w:r>
          </w:p>
          <w:p>
            <w:pP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有效投</w:t>
            </w:r>
            <w:r>
              <w:rPr>
                <w:rFonts w:hint="eastAsia" w:cs="Times New Roman"/>
                <w:color w:val="auto"/>
                <w:sz w:val="24"/>
                <w:szCs w:val="24"/>
                <w:highlight w:val="none"/>
                <w:lang w:eastAsia="zh-CN"/>
              </w:rPr>
              <w:t>标下浮率小于</w:t>
            </w:r>
            <w:r>
              <w:rPr>
                <w:rFonts w:hint="default" w:ascii="Times New Roman" w:hAnsi="Times New Roman" w:eastAsia="宋体" w:cs="Times New Roman"/>
                <w:color w:val="auto"/>
                <w:sz w:val="24"/>
                <w:szCs w:val="24"/>
                <w:highlight w:val="none"/>
              </w:rPr>
              <w:t>评标基准</w:t>
            </w:r>
            <w:r>
              <w:rPr>
                <w:rFonts w:hint="eastAsia" w:cs="Times New Roman"/>
                <w:color w:val="auto"/>
                <w:sz w:val="24"/>
                <w:szCs w:val="24"/>
                <w:highlight w:val="none"/>
                <w:lang w:eastAsia="zh-CN"/>
              </w:rPr>
              <w:t>下浮率的</w:t>
            </w:r>
            <w:r>
              <w:rPr>
                <w:rFonts w:hint="default" w:ascii="Times New Roman" w:hAnsi="Times New Roman" w:eastAsia="宋体" w:cs="Times New Roman"/>
                <w:color w:val="auto"/>
                <w:sz w:val="24"/>
                <w:szCs w:val="24"/>
                <w:highlight w:val="none"/>
              </w:rPr>
              <w:t>，偏差率每1%扣</w:t>
            </w:r>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分。</w:t>
            </w:r>
          </w:p>
          <w:p>
            <w:pP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直至扣至0分。</w:t>
            </w:r>
          </w:p>
        </w:tc>
      </w:tr>
    </w:tbl>
    <w:p>
      <w:pPr>
        <w:spacing w:line="240" w:lineRule="auto"/>
        <w:rPr>
          <w:rFonts w:hint="eastAsia" w:ascii="宋体" w:hAnsi="宋体" w:eastAsia="宋体" w:cs="宋体"/>
          <w:sz w:val="24"/>
          <w:szCs w:val="28"/>
        </w:rPr>
      </w:pPr>
      <w:r>
        <w:rPr>
          <w:rFonts w:hint="eastAsia" w:ascii="宋体" w:hAnsi="宋体" w:eastAsia="宋体" w:cs="宋体"/>
          <w:sz w:val="24"/>
          <w:szCs w:val="28"/>
        </w:rPr>
        <w:t>注：</w:t>
      </w:r>
    </w:p>
    <w:p>
      <w:pPr>
        <w:spacing w:line="240" w:lineRule="auto"/>
        <w:rPr>
          <w:rFonts w:hint="eastAsia" w:ascii="宋体" w:hAnsi="宋体" w:eastAsia="宋体" w:cs="宋体"/>
          <w:sz w:val="24"/>
          <w:szCs w:val="28"/>
        </w:rPr>
      </w:pPr>
      <w:r>
        <w:rPr>
          <w:rFonts w:hint="eastAsia" w:ascii="宋体" w:hAnsi="宋体" w:eastAsia="宋体" w:cs="宋体"/>
          <w:b/>
          <w:bCs/>
          <w:sz w:val="24"/>
          <w:szCs w:val="28"/>
        </w:rPr>
        <w:t>1.企业诚信综合评价:</w:t>
      </w:r>
      <w:r>
        <w:rPr>
          <w:rFonts w:hint="eastAsia" w:ascii="宋体" w:hAnsi="宋体" w:eastAsia="宋体" w:cs="宋体"/>
          <w:sz w:val="24"/>
          <w:szCs w:val="28"/>
        </w:rPr>
        <w:t>本项排名以递交投标文件截止当天广州市住房和城乡建设局网站企业诚信评价专栏上公布“造价咨询企业综合诚信评价排名”的“60日诚信分”为准。</w:t>
      </w:r>
    </w:p>
    <w:p>
      <w:pPr>
        <w:spacing w:line="240" w:lineRule="auto"/>
        <w:rPr>
          <w:rFonts w:hint="eastAsia" w:ascii="宋体" w:hAnsi="宋体" w:eastAsia="宋体" w:cs="宋体"/>
          <w:sz w:val="24"/>
          <w:szCs w:val="28"/>
        </w:rPr>
      </w:pPr>
      <w:r>
        <w:rPr>
          <w:rFonts w:hint="eastAsia" w:ascii="宋体" w:hAnsi="宋体" w:eastAsia="宋体" w:cs="宋体"/>
          <w:b/>
          <w:bCs/>
          <w:sz w:val="24"/>
          <w:szCs w:val="28"/>
        </w:rPr>
        <w:t>2.企业</w:t>
      </w:r>
      <w:r>
        <w:rPr>
          <w:rFonts w:hint="eastAsia" w:ascii="宋体" w:hAnsi="宋体" w:cs="宋体"/>
          <w:b/>
          <w:bCs/>
          <w:sz w:val="24"/>
          <w:szCs w:val="28"/>
          <w:highlight w:val="none"/>
          <w:lang w:eastAsia="zh-CN"/>
        </w:rPr>
        <w:t>同类</w:t>
      </w:r>
      <w:r>
        <w:rPr>
          <w:rFonts w:hint="eastAsia" w:ascii="宋体" w:hAnsi="宋体" w:eastAsia="宋体" w:cs="宋体"/>
          <w:b/>
          <w:bCs/>
          <w:sz w:val="24"/>
          <w:szCs w:val="28"/>
        </w:rPr>
        <w:t>业绩：</w:t>
      </w:r>
      <w:r>
        <w:rPr>
          <w:rFonts w:hint="eastAsia" w:ascii="宋体" w:hAnsi="宋体" w:eastAsia="宋体" w:cs="宋体"/>
          <w:sz w:val="24"/>
          <w:szCs w:val="28"/>
        </w:rPr>
        <w:t>提供咨询合同和咨询成果（如有）扫描件加盖公章。咨询成果（如有）可以是经业主或委托方确认的咨询报告、定案表（概算、预算、结算阶段均可）、业主评价意见表等，时间、造价均以咨询成果为准，如没有提供咨询成果则按合同为准。</w:t>
      </w:r>
    </w:p>
    <w:p>
      <w:pPr>
        <w:spacing w:line="240" w:lineRule="auto"/>
        <w:rPr>
          <w:rFonts w:hint="eastAsia" w:ascii="宋体" w:hAnsi="宋体" w:cs="宋体"/>
          <w:sz w:val="24"/>
          <w:szCs w:val="28"/>
          <w:lang w:val="en-US" w:eastAsia="zh-CN"/>
        </w:rPr>
      </w:pPr>
      <w:r>
        <w:rPr>
          <w:rFonts w:hint="eastAsia" w:ascii="宋体" w:hAnsi="宋体" w:cs="宋体"/>
          <w:b/>
          <w:bCs/>
          <w:sz w:val="24"/>
          <w:szCs w:val="28"/>
          <w:lang w:val="en-US" w:eastAsia="zh-CN"/>
        </w:rPr>
        <w:t>3.</w:t>
      </w:r>
      <w:r>
        <w:rPr>
          <w:rFonts w:hint="default" w:ascii="Times New Roman" w:hAnsi="Times New Roman" w:eastAsia="宋体" w:cs="Times New Roman"/>
          <w:b/>
          <w:bCs/>
          <w:color w:val="auto"/>
          <w:sz w:val="24"/>
          <w:szCs w:val="24"/>
          <w:lang w:eastAsia="zh-CN"/>
        </w:rPr>
        <w:t>人员配置</w:t>
      </w:r>
      <w:r>
        <w:rPr>
          <w:rFonts w:hint="eastAsia" w:cs="Times New Roman"/>
          <w:b/>
          <w:bCs/>
          <w:color w:val="auto"/>
          <w:sz w:val="24"/>
          <w:szCs w:val="24"/>
          <w:lang w:eastAsia="zh-CN"/>
        </w:rPr>
        <w:t>表</w:t>
      </w:r>
      <w:r>
        <w:rPr>
          <w:rFonts w:hint="default" w:ascii="Times New Roman" w:hAnsi="Times New Roman" w:eastAsia="宋体" w:cs="Times New Roman"/>
          <w:b/>
          <w:bCs/>
          <w:color w:val="auto"/>
          <w:sz w:val="24"/>
          <w:szCs w:val="24"/>
        </w:rPr>
        <w:t>证明材料：</w:t>
      </w:r>
      <w:r>
        <w:rPr>
          <w:rFonts w:hint="default" w:ascii="Times New Roman" w:hAnsi="Times New Roman" w:eastAsia="宋体" w:cs="Times New Roman"/>
          <w:color w:val="auto"/>
          <w:sz w:val="24"/>
          <w:szCs w:val="24"/>
        </w:rPr>
        <w:t>需附个人职称证书、注册造价工程师注册证、执业资格证书等相关资料原件彩色扫描件。</w:t>
      </w:r>
    </w:p>
    <w:p>
      <w:pPr>
        <w:spacing w:line="240" w:lineRule="auto"/>
        <w:rPr>
          <w:rFonts w:hint="eastAsia" w:eastAsia="宋体"/>
          <w:lang w:eastAsia="zh-CN"/>
        </w:rPr>
      </w:pPr>
      <w:r>
        <w:rPr>
          <w:rFonts w:hint="eastAsia" w:ascii="宋体" w:hAnsi="宋体" w:eastAsia="宋体" w:cs="宋体"/>
          <w:b/>
          <w:bCs/>
          <w:sz w:val="24"/>
          <w:szCs w:val="28"/>
        </w:rPr>
        <w:t>项目</w:t>
      </w:r>
      <w:r>
        <w:rPr>
          <w:rFonts w:hint="eastAsia" w:ascii="宋体" w:hAnsi="宋体" w:cs="宋体"/>
          <w:b/>
          <w:bCs/>
          <w:sz w:val="24"/>
          <w:szCs w:val="28"/>
          <w:lang w:eastAsia="zh-CN"/>
        </w:rPr>
        <w:t>技术</w:t>
      </w:r>
      <w:r>
        <w:rPr>
          <w:rFonts w:hint="eastAsia" w:ascii="宋体" w:hAnsi="宋体" w:eastAsia="宋体" w:cs="宋体"/>
          <w:b/>
          <w:bCs/>
          <w:sz w:val="24"/>
          <w:szCs w:val="28"/>
        </w:rPr>
        <w:t>负责人业绩：</w:t>
      </w:r>
      <w:r>
        <w:rPr>
          <w:rFonts w:hint="eastAsia" w:ascii="宋体" w:hAnsi="宋体" w:eastAsia="宋体" w:cs="宋体"/>
          <w:sz w:val="24"/>
          <w:szCs w:val="28"/>
        </w:rPr>
        <w:t>提供咨询合同和咨询成果（如有）</w:t>
      </w:r>
      <w:r>
        <w:rPr>
          <w:rFonts w:hint="eastAsia" w:ascii="宋体" w:hAnsi="宋体" w:cs="宋体"/>
          <w:sz w:val="24"/>
          <w:szCs w:val="28"/>
          <w:lang w:eastAsia="zh-CN"/>
        </w:rPr>
        <w:t>复印</w:t>
      </w:r>
      <w:r>
        <w:rPr>
          <w:rFonts w:hint="eastAsia" w:ascii="宋体" w:hAnsi="宋体" w:eastAsia="宋体" w:cs="宋体"/>
          <w:sz w:val="24"/>
          <w:szCs w:val="28"/>
        </w:rPr>
        <w:t>件加盖公章。咨询成果（如有）可以是经业主或委托方确认的咨询报告、定案表（概算、预算、结算阶段均可）、业主评价意见表等，时间、造价均以咨询成果为准，如没有提供咨询成果则按合同为准</w:t>
      </w:r>
      <w:r>
        <w:rPr>
          <w:rFonts w:hint="eastAsia" w:ascii="宋体" w:hAnsi="宋体" w:cs="宋体"/>
          <w:sz w:val="24"/>
          <w:szCs w:val="28"/>
          <w:lang w:eastAsia="zh-CN"/>
        </w:rPr>
        <w:t>。其中，</w:t>
      </w:r>
      <w:r>
        <w:rPr>
          <w:rFonts w:hint="eastAsia" w:ascii="宋体" w:hAnsi="宋体" w:eastAsia="宋体" w:cs="宋体"/>
          <w:sz w:val="24"/>
          <w:szCs w:val="28"/>
        </w:rPr>
        <w:t>造价咨询业绩应提供盖有个人造价师注册章及业主公章的相关材料</w:t>
      </w:r>
      <w:r>
        <w:rPr>
          <w:rFonts w:hint="eastAsia" w:ascii="宋体" w:hAnsi="宋体" w:cs="宋体"/>
          <w:sz w:val="24"/>
          <w:szCs w:val="28"/>
          <w:lang w:eastAsia="zh-CN"/>
        </w:rPr>
        <w:t>。</w:t>
      </w:r>
    </w:p>
    <w:p>
      <w:pPr>
        <w:spacing w:line="240" w:lineRule="auto"/>
        <w:rPr>
          <w:rFonts w:hint="eastAsia" w:ascii="宋体" w:hAnsi="宋体" w:eastAsia="宋体" w:cs="宋体"/>
          <w:sz w:val="24"/>
          <w:szCs w:val="28"/>
        </w:rPr>
      </w:pPr>
      <w:r>
        <w:rPr>
          <w:rFonts w:hint="eastAsia" w:ascii="宋体" w:hAnsi="宋体" w:cs="宋体"/>
          <w:sz w:val="24"/>
          <w:szCs w:val="28"/>
          <w:lang w:val="en-US" w:eastAsia="zh-CN"/>
        </w:rPr>
        <w:t>4.</w:t>
      </w:r>
      <w:r>
        <w:rPr>
          <w:rFonts w:hint="eastAsia" w:ascii="宋体" w:hAnsi="宋体" w:eastAsia="宋体" w:cs="宋体"/>
          <w:sz w:val="24"/>
          <w:szCs w:val="28"/>
        </w:rPr>
        <w:t>投标人的</w:t>
      </w:r>
      <w:r>
        <w:rPr>
          <w:rFonts w:hint="eastAsia" w:ascii="宋体" w:hAnsi="宋体" w:cs="宋体"/>
          <w:sz w:val="24"/>
          <w:szCs w:val="28"/>
          <w:lang w:eastAsia="zh-CN"/>
        </w:rPr>
        <w:t>最终总</w:t>
      </w:r>
      <w:r>
        <w:rPr>
          <w:rFonts w:hint="eastAsia" w:ascii="宋体" w:hAnsi="宋体" w:eastAsia="宋体" w:cs="宋体"/>
          <w:sz w:val="24"/>
          <w:szCs w:val="28"/>
        </w:rPr>
        <w:t>得分为各评委的评分去掉一个最高分和一个最低分后计取的算术平均分（分数出现小数点时，保留小数点后二位，第三位小数四舍五入）。</w:t>
      </w:r>
    </w:p>
    <w:p>
      <w:pPr>
        <w:pStyle w:val="2"/>
      </w:pPr>
    </w:p>
    <w:p/>
    <w:p>
      <w:pPr>
        <w:pStyle w:val="2"/>
      </w:pPr>
    </w:p>
    <w:p/>
    <w:p>
      <w:pPr>
        <w:pStyle w:val="2"/>
        <w:sectPr>
          <w:pgSz w:w="11906" w:h="16838"/>
          <w:pgMar w:top="1440" w:right="1800" w:bottom="1440" w:left="1800" w:header="851" w:footer="992" w:gutter="0"/>
          <w:cols w:space="720" w:num="1"/>
          <w:docGrid w:type="lines" w:linePitch="312" w:charSpace="0"/>
        </w:sectPr>
      </w:pPr>
    </w:p>
    <w:tbl>
      <w:tblPr>
        <w:tblStyle w:val="6"/>
        <w:tblW w:w="15507" w:type="dxa"/>
        <w:tblInd w:w="93" w:type="dxa"/>
        <w:shd w:val="clear" w:color="auto" w:fill="auto"/>
        <w:tblLayout w:type="fixed"/>
        <w:tblCellMar>
          <w:top w:w="0" w:type="dxa"/>
          <w:left w:w="108" w:type="dxa"/>
          <w:bottom w:w="0" w:type="dxa"/>
          <w:right w:w="108" w:type="dxa"/>
        </w:tblCellMar>
      </w:tblPr>
      <w:tblGrid>
        <w:gridCol w:w="14865"/>
      </w:tblGrid>
      <w:tr>
        <w:tblPrEx>
          <w:shd w:val="clear" w:color="auto" w:fill="auto"/>
          <w:tblCellMar>
            <w:top w:w="0" w:type="dxa"/>
            <w:left w:w="108" w:type="dxa"/>
            <w:bottom w:w="0" w:type="dxa"/>
            <w:right w:w="108" w:type="dxa"/>
          </w:tblCellMar>
        </w:tblPrEx>
        <w:trPr>
          <w:trHeight w:val="360" w:hRule="atLeast"/>
        </w:trPr>
        <w:tc>
          <w:tcPr>
            <w:tcW w:w="14865" w:type="dxa"/>
            <w:vMerge w:val="restar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8"/>
                <w:szCs w:val="28"/>
                <w:u w:val="none"/>
              </w:rPr>
            </w:pPr>
            <w:r>
              <w:rPr>
                <w:rFonts w:hint="eastAsia" w:ascii="宋体" w:hAnsi="宋体" w:cs="宋体"/>
                <w:b/>
                <w:bCs/>
                <w:i w:val="0"/>
                <w:iCs w:val="0"/>
                <w:color w:val="000000"/>
                <w:kern w:val="0"/>
                <w:sz w:val="28"/>
                <w:szCs w:val="28"/>
                <w:u w:val="none"/>
                <w:lang w:val="en-US" w:eastAsia="zh-CN" w:bidi="ar"/>
              </w:rPr>
              <w:t xml:space="preserve">附表:                                  </w:t>
            </w:r>
          </w:p>
        </w:tc>
      </w:tr>
      <w:tr>
        <w:tblPrEx>
          <w:tblCellMar>
            <w:top w:w="0" w:type="dxa"/>
            <w:left w:w="108" w:type="dxa"/>
            <w:bottom w:w="0" w:type="dxa"/>
            <w:right w:w="108" w:type="dxa"/>
          </w:tblCellMar>
        </w:tblPrEx>
        <w:trPr>
          <w:trHeight w:val="360" w:hRule="atLeast"/>
        </w:trPr>
        <w:tc>
          <w:tcPr>
            <w:tcW w:w="14865" w:type="dxa"/>
            <w:vMerge w:val="continue"/>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28"/>
                <w:szCs w:val="28"/>
                <w:u w:val="none"/>
              </w:rPr>
            </w:pPr>
          </w:p>
        </w:tc>
      </w:tr>
    </w:tbl>
    <w:p>
      <w:pPr>
        <w:spacing w:line="360" w:lineRule="auto"/>
        <w:jc w:val="center"/>
        <w:rPr>
          <w:rFonts w:hint="eastAsia" w:ascii="宋体" w:hAnsi="宋体" w:eastAsia="宋体" w:cs="宋体"/>
          <w:b/>
          <w:sz w:val="30"/>
          <w:szCs w:val="30"/>
        </w:rPr>
      </w:pPr>
      <w:r>
        <w:rPr>
          <w:rFonts w:hint="eastAsia" w:ascii="宋体" w:hAnsi="宋体" w:cs="宋体"/>
          <w:b/>
          <w:sz w:val="30"/>
          <w:szCs w:val="30"/>
          <w:lang w:eastAsia="zh-CN"/>
        </w:rPr>
        <w:t>人员配置情况</w:t>
      </w:r>
    </w:p>
    <w:p>
      <w:pPr>
        <w:spacing w:line="360" w:lineRule="auto"/>
        <w:jc w:val="center"/>
        <w:rPr>
          <w:rFonts w:hint="eastAsia" w:ascii="宋体" w:hAnsi="宋体" w:cs="宋体"/>
          <w:b/>
          <w:sz w:val="30"/>
          <w:szCs w:val="30"/>
          <w:lang w:eastAsia="zh-CN"/>
        </w:rPr>
      </w:pPr>
    </w:p>
    <w:tbl>
      <w:tblPr>
        <w:tblStyle w:val="6"/>
        <w:tblW w:w="10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276"/>
        <w:gridCol w:w="1134"/>
        <w:gridCol w:w="681"/>
        <w:gridCol w:w="750"/>
        <w:gridCol w:w="2060"/>
        <w:gridCol w:w="1332"/>
        <w:gridCol w:w="1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姓名</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lang w:eastAsia="zh-CN"/>
              </w:rPr>
            </w:pPr>
            <w:r>
              <w:rPr>
                <w:rFonts w:hint="eastAsia" w:ascii="宋体" w:hAnsi="宋体" w:cs="宋体"/>
                <w:b w:val="0"/>
                <w:bCs w:val="0"/>
                <w:sz w:val="24"/>
                <w:szCs w:val="24"/>
                <w:lang w:eastAsia="zh-CN"/>
              </w:rPr>
              <w:t>执业资格</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职称</w:t>
            </w:r>
          </w:p>
        </w:tc>
        <w:tc>
          <w:tcPr>
            <w:tcW w:w="68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性别</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年龄</w:t>
            </w:r>
          </w:p>
        </w:tc>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lang w:eastAsia="zh-CN"/>
              </w:rPr>
            </w:pPr>
            <w:r>
              <w:rPr>
                <w:rFonts w:hint="eastAsia" w:ascii="宋体" w:hAnsi="宋体" w:cs="宋体"/>
                <w:b w:val="0"/>
                <w:bCs w:val="0"/>
                <w:sz w:val="24"/>
                <w:szCs w:val="24"/>
                <w:lang w:eastAsia="zh-CN"/>
              </w:rPr>
              <w:t>拟安排岗位</w:t>
            </w:r>
          </w:p>
        </w:tc>
        <w:tc>
          <w:tcPr>
            <w:tcW w:w="133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lang w:eastAsia="zh-CN"/>
              </w:rPr>
            </w:pPr>
            <w:r>
              <w:rPr>
                <w:rFonts w:hint="eastAsia" w:ascii="宋体" w:hAnsi="宋体" w:cs="宋体"/>
                <w:b w:val="0"/>
                <w:bCs w:val="0"/>
                <w:sz w:val="24"/>
                <w:szCs w:val="24"/>
                <w:lang w:eastAsia="zh-CN"/>
              </w:rPr>
              <w:t>工程预结算工作年限</w:t>
            </w:r>
          </w:p>
        </w:tc>
        <w:tc>
          <w:tcPr>
            <w:tcW w:w="187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s="宋体"/>
                <w:b w:val="0"/>
                <w:bCs w:val="0"/>
                <w:sz w:val="24"/>
                <w:szCs w:val="24"/>
                <w:lang w:eastAsia="zh-CN"/>
              </w:rPr>
            </w:pPr>
            <w:r>
              <w:rPr>
                <w:rFonts w:hint="eastAsia" w:ascii="宋体" w:hAnsi="宋体" w:cs="宋体"/>
                <w:b w:val="0"/>
                <w:bCs w:val="0"/>
                <w:sz w:val="24"/>
                <w:szCs w:val="24"/>
                <w:lang w:eastAsia="zh-CN"/>
              </w:rPr>
              <w:t>联系方式</w:t>
            </w:r>
          </w:p>
          <w:p>
            <w:pPr>
              <w:spacing w:line="360" w:lineRule="auto"/>
              <w:jc w:val="center"/>
              <w:rPr>
                <w:rFonts w:hint="eastAsia" w:ascii="宋体" w:hAnsi="宋体" w:cs="宋体"/>
                <w:b w:val="0"/>
                <w:bCs w:val="0"/>
                <w:sz w:val="24"/>
                <w:szCs w:val="24"/>
                <w:lang w:eastAsia="zh-CN"/>
              </w:rPr>
            </w:pPr>
            <w:r>
              <w:rPr>
                <w:rFonts w:hint="eastAsia" w:ascii="宋体" w:hAnsi="宋体" w:cs="宋体"/>
                <w:b w:val="0"/>
                <w:bCs w:val="0"/>
                <w:sz w:val="24"/>
                <w:szCs w:val="24"/>
                <w:lang w:eastAsia="zh-CN"/>
              </w:rPr>
              <w:t>（手机</w:t>
            </w:r>
            <w:r>
              <w:rPr>
                <w:rFonts w:hint="eastAsia" w:ascii="宋体" w:hAnsi="宋体" w:cs="宋体"/>
                <w:b w:val="0"/>
                <w:bCs w:val="0"/>
                <w:sz w:val="24"/>
                <w:szCs w:val="24"/>
                <w:lang w:val="en-US" w:eastAsia="zh-CN"/>
              </w:rPr>
              <w:t>+邮箱</w:t>
            </w:r>
            <w:r>
              <w:rPr>
                <w:rFonts w:hint="eastAsia" w:ascii="宋体" w:hAnsi="宋体" w:cs="宋体"/>
                <w:b w:val="0"/>
                <w:bCs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367" w:type="dxa"/>
            <w:gridSpan w:val="7"/>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拟派</w:t>
            </w:r>
            <w:r>
              <w:rPr>
                <w:rFonts w:hint="eastAsia" w:ascii="宋体" w:hAnsi="宋体" w:cs="宋体"/>
                <w:b w:val="0"/>
                <w:bCs w:val="0"/>
                <w:sz w:val="24"/>
                <w:szCs w:val="24"/>
                <w:lang w:eastAsia="zh-CN"/>
              </w:rPr>
              <w:t>我院项目实际</w:t>
            </w:r>
            <w:r>
              <w:rPr>
                <w:rFonts w:hint="eastAsia" w:ascii="宋体" w:hAnsi="宋体" w:eastAsia="宋体" w:cs="宋体"/>
                <w:b w:val="0"/>
                <w:bCs w:val="0"/>
                <w:sz w:val="24"/>
                <w:szCs w:val="24"/>
              </w:rPr>
              <w:t>人选</w:t>
            </w:r>
          </w:p>
        </w:tc>
        <w:tc>
          <w:tcPr>
            <w:tcW w:w="1873"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68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lang w:eastAsia="zh-CN"/>
              </w:rPr>
            </w:pPr>
            <w:r>
              <w:rPr>
                <w:rFonts w:hint="eastAsia" w:ascii="宋体" w:hAnsi="宋体" w:cs="宋体"/>
                <w:sz w:val="24"/>
                <w:szCs w:val="24"/>
                <w:lang w:eastAsia="zh-CN"/>
              </w:rPr>
              <w:t>土建专业技术负责人</w:t>
            </w:r>
          </w:p>
        </w:tc>
        <w:tc>
          <w:tcPr>
            <w:tcW w:w="13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87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68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r>
              <w:rPr>
                <w:rFonts w:hint="eastAsia" w:ascii="宋体" w:hAnsi="宋体" w:cs="宋体"/>
                <w:sz w:val="24"/>
                <w:szCs w:val="24"/>
                <w:lang w:eastAsia="zh-CN"/>
              </w:rPr>
              <w:t>安装专业技术负责人</w:t>
            </w:r>
          </w:p>
        </w:tc>
        <w:tc>
          <w:tcPr>
            <w:tcW w:w="13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87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68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lang w:eastAsia="zh-CN"/>
              </w:rPr>
            </w:pPr>
            <w:r>
              <w:rPr>
                <w:rFonts w:hint="eastAsia" w:ascii="宋体" w:hAnsi="宋体" w:cs="宋体"/>
                <w:sz w:val="24"/>
                <w:szCs w:val="24"/>
                <w:lang w:eastAsia="zh-CN"/>
              </w:rPr>
              <w:t>土建专业技术人员</w:t>
            </w:r>
          </w:p>
        </w:tc>
        <w:tc>
          <w:tcPr>
            <w:tcW w:w="13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87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68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r>
              <w:rPr>
                <w:rFonts w:hint="eastAsia" w:ascii="宋体" w:hAnsi="宋体" w:cs="宋体"/>
                <w:sz w:val="24"/>
                <w:szCs w:val="24"/>
                <w:lang w:eastAsia="zh-CN"/>
              </w:rPr>
              <w:t>装修专业技术人员</w:t>
            </w:r>
          </w:p>
        </w:tc>
        <w:tc>
          <w:tcPr>
            <w:tcW w:w="13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87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68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r>
              <w:rPr>
                <w:rFonts w:hint="eastAsia" w:ascii="宋体" w:hAnsi="宋体" w:cs="宋体"/>
                <w:sz w:val="24"/>
                <w:szCs w:val="24"/>
                <w:lang w:eastAsia="zh-CN"/>
              </w:rPr>
              <w:t>电气专业技术人员</w:t>
            </w:r>
          </w:p>
        </w:tc>
        <w:tc>
          <w:tcPr>
            <w:tcW w:w="13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87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68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r>
              <w:rPr>
                <w:rFonts w:hint="eastAsia" w:ascii="宋体" w:hAnsi="宋体" w:cs="宋体"/>
                <w:sz w:val="24"/>
                <w:szCs w:val="24"/>
                <w:lang w:eastAsia="zh-CN"/>
              </w:rPr>
              <w:t>空调专业技术人员</w:t>
            </w:r>
          </w:p>
        </w:tc>
        <w:tc>
          <w:tcPr>
            <w:tcW w:w="13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87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68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default" w:ascii="宋体" w:hAnsi="宋体" w:eastAsia="宋体" w:cs="宋体"/>
                <w:sz w:val="24"/>
                <w:szCs w:val="24"/>
                <w:lang w:val="en-US" w:eastAsia="zh-CN"/>
              </w:rPr>
            </w:pPr>
            <w:r>
              <w:rPr>
                <w:rFonts w:hint="eastAsia" w:ascii="宋体" w:hAnsi="宋体" w:cs="宋体"/>
                <w:sz w:val="24"/>
                <w:szCs w:val="24"/>
                <w:lang w:val="en-US" w:eastAsia="zh-CN"/>
              </w:rPr>
              <w:t>......</w:t>
            </w:r>
          </w:p>
        </w:tc>
        <w:tc>
          <w:tcPr>
            <w:tcW w:w="13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87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68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szCs w:val="24"/>
              </w:rPr>
            </w:pPr>
          </w:p>
        </w:tc>
        <w:tc>
          <w:tcPr>
            <w:tcW w:w="2060"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332"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873"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bl>
    <w:p>
      <w:pPr>
        <w:spacing w:line="360" w:lineRule="auto"/>
        <w:ind w:right="560"/>
        <w:jc w:val="left"/>
        <w:rPr>
          <w:rFonts w:hint="eastAsia" w:ascii="宋体" w:hAnsi="宋体" w:eastAsia="宋体" w:cs="宋体"/>
          <w:sz w:val="24"/>
          <w:szCs w:val="24"/>
        </w:rPr>
      </w:pPr>
    </w:p>
    <w:p>
      <w:pPr>
        <w:spacing w:line="360" w:lineRule="auto"/>
        <w:ind w:right="560"/>
        <w:jc w:val="left"/>
        <w:rPr>
          <w:rFonts w:hint="eastAsia" w:ascii="宋体" w:hAnsi="宋体" w:eastAsia="宋体" w:cs="宋体"/>
          <w:sz w:val="24"/>
          <w:szCs w:val="24"/>
        </w:rPr>
      </w:pPr>
      <w:r>
        <w:rPr>
          <w:rFonts w:hint="eastAsia" w:ascii="宋体" w:hAnsi="宋体" w:eastAsia="宋体" w:cs="宋体"/>
          <w:sz w:val="24"/>
          <w:szCs w:val="24"/>
        </w:rPr>
        <w:t>法定代表人或代理人（签字或盖章）：</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投标单位（盖章）：</w:t>
      </w:r>
    </w:p>
    <w:p>
      <w:pPr>
        <w:tabs>
          <w:tab w:val="right" w:pos="8591"/>
        </w:tabs>
        <w:spacing w:line="360" w:lineRule="auto"/>
        <w:ind w:right="480" w:firstLine="6480" w:firstLineChars="2700"/>
        <w:jc w:val="both"/>
        <w:rPr>
          <w:rFonts w:hint="eastAsia" w:ascii="宋体" w:hAnsi="宋体" w:eastAsia="宋体" w:cs="宋体"/>
          <w:sz w:val="24"/>
          <w:szCs w:val="24"/>
        </w:rPr>
      </w:pPr>
      <w:r>
        <w:rPr>
          <w:rFonts w:hint="eastAsia" w:ascii="宋体" w:hAnsi="宋体" w:eastAsia="宋体" w:cs="宋体"/>
          <w:sz w:val="24"/>
          <w:szCs w:val="24"/>
        </w:rPr>
        <w:t xml:space="preserve">年  月   日  </w:t>
      </w:r>
      <w:r>
        <w:rPr>
          <w:rFonts w:hint="eastAsia" w:ascii="宋体" w:hAnsi="宋体" w:eastAsia="宋体" w:cs="宋体"/>
          <w:sz w:val="24"/>
          <w:szCs w:val="24"/>
        </w:rPr>
        <w:tab/>
      </w:r>
    </w:p>
    <w:p>
      <w:pPr>
        <w:spacing w:line="360" w:lineRule="auto"/>
        <w:rPr>
          <w:rFonts w:hint="eastAsia" w:ascii="宋体" w:hAnsi="宋体" w:eastAsia="宋体" w:cs="宋体"/>
          <w:b/>
          <w:sz w:val="24"/>
          <w:szCs w:val="24"/>
        </w:rPr>
      </w:pPr>
    </w:p>
    <w:p>
      <w:pPr>
        <w:spacing w:line="360" w:lineRule="auto"/>
        <w:jc w:val="center"/>
        <w:rPr>
          <w:rFonts w:hint="eastAsia" w:ascii="宋体" w:hAnsi="宋体" w:eastAsia="宋体" w:cs="宋体"/>
          <w:b/>
          <w:sz w:val="30"/>
          <w:szCs w:val="30"/>
        </w:rPr>
      </w:pPr>
    </w:p>
    <w:p>
      <w:pPr>
        <w:spacing w:line="360" w:lineRule="auto"/>
        <w:jc w:val="center"/>
        <w:rPr>
          <w:rFonts w:hint="eastAsia" w:ascii="宋体" w:hAnsi="宋体" w:eastAsia="宋体" w:cs="宋体"/>
          <w:b/>
          <w:sz w:val="30"/>
          <w:szCs w:val="30"/>
        </w:rPr>
        <w:sectPr>
          <w:pgSz w:w="11906" w:h="16838"/>
          <w:pgMar w:top="1440" w:right="1800" w:bottom="1440" w:left="1800" w:header="851" w:footer="992" w:gutter="0"/>
          <w:cols w:space="720" w:num="1"/>
          <w:docGrid w:type="lines" w:linePitch="312" w:charSpace="0"/>
        </w:sectPr>
      </w:pPr>
    </w:p>
    <w:p>
      <w:pPr>
        <w:spacing w:line="360" w:lineRule="auto"/>
        <w:jc w:val="center"/>
        <w:rPr>
          <w:rFonts w:hint="eastAsia" w:ascii="宋体" w:hAnsi="宋体" w:eastAsia="宋体" w:cs="宋体"/>
          <w:b/>
          <w:bCs/>
          <w:sz w:val="30"/>
          <w:szCs w:val="30"/>
        </w:rPr>
      </w:pPr>
      <w:r>
        <w:rPr>
          <w:rFonts w:hint="eastAsia" w:ascii="宋体" w:hAnsi="宋体" w:eastAsia="宋体" w:cs="宋体"/>
          <w:b/>
          <w:sz w:val="30"/>
          <w:szCs w:val="30"/>
        </w:rPr>
        <w:t>项目</w:t>
      </w:r>
      <w:r>
        <w:rPr>
          <w:rFonts w:hint="eastAsia" w:ascii="宋体" w:hAnsi="宋体" w:cs="宋体"/>
          <w:b/>
          <w:sz w:val="30"/>
          <w:szCs w:val="30"/>
          <w:lang w:eastAsia="zh-CN"/>
        </w:rPr>
        <w:t>技术负责人（土建</w:t>
      </w:r>
      <w:r>
        <w:rPr>
          <w:rFonts w:hint="eastAsia" w:ascii="宋体" w:hAnsi="宋体" w:cs="宋体"/>
          <w:b/>
          <w:sz w:val="30"/>
          <w:szCs w:val="30"/>
          <w:lang w:val="en-US" w:eastAsia="zh-CN"/>
        </w:rPr>
        <w:t>/安装专业</w:t>
      </w:r>
      <w:r>
        <w:rPr>
          <w:rFonts w:hint="eastAsia" w:ascii="宋体" w:hAnsi="宋体" w:cs="宋体"/>
          <w:b/>
          <w:sz w:val="30"/>
          <w:szCs w:val="30"/>
          <w:lang w:eastAsia="zh-CN"/>
        </w:rPr>
        <w:t>）</w:t>
      </w:r>
      <w:r>
        <w:rPr>
          <w:rFonts w:hint="eastAsia" w:ascii="宋体" w:hAnsi="宋体" w:eastAsia="宋体" w:cs="宋体"/>
          <w:b/>
          <w:sz w:val="30"/>
          <w:szCs w:val="30"/>
        </w:rPr>
        <w:t>简历表</w:t>
      </w:r>
    </w:p>
    <w:p>
      <w:pPr>
        <w:spacing w:line="360" w:lineRule="auto"/>
        <w:jc w:val="center"/>
        <w:rPr>
          <w:rFonts w:hint="eastAsia" w:ascii="宋体" w:hAnsi="宋体" w:eastAsia="宋体" w:cs="宋体"/>
          <w:b/>
          <w:sz w:val="24"/>
          <w:szCs w:val="24"/>
        </w:rPr>
      </w:pPr>
    </w:p>
    <w:tbl>
      <w:tblPr>
        <w:tblStyle w:val="6"/>
        <w:tblW w:w="89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3"/>
        <w:gridCol w:w="297"/>
        <w:gridCol w:w="455"/>
        <w:gridCol w:w="732"/>
        <w:gridCol w:w="593"/>
        <w:gridCol w:w="890"/>
        <w:gridCol w:w="890"/>
        <w:gridCol w:w="594"/>
        <w:gridCol w:w="837"/>
        <w:gridCol w:w="349"/>
        <w:gridCol w:w="297"/>
        <w:gridCol w:w="1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trPr>
        <w:tc>
          <w:tcPr>
            <w:tcW w:w="148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姓名</w:t>
            </w:r>
          </w:p>
        </w:tc>
        <w:tc>
          <w:tcPr>
            <w:tcW w:w="1484"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p>
        </w:tc>
        <w:tc>
          <w:tcPr>
            <w:tcW w:w="148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性别</w:t>
            </w:r>
          </w:p>
        </w:tc>
        <w:tc>
          <w:tcPr>
            <w:tcW w:w="148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p>
        </w:tc>
        <w:tc>
          <w:tcPr>
            <w:tcW w:w="148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年龄</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48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lang w:eastAsia="zh-CN"/>
              </w:rPr>
            </w:pPr>
            <w:r>
              <w:rPr>
                <w:rFonts w:hint="eastAsia" w:ascii="宋体" w:hAnsi="宋体" w:cs="宋体"/>
                <w:b w:val="0"/>
                <w:bCs w:val="0"/>
                <w:sz w:val="24"/>
                <w:szCs w:val="24"/>
                <w:lang w:eastAsia="zh-CN"/>
              </w:rPr>
              <w:t>执业资格</w:t>
            </w:r>
          </w:p>
        </w:tc>
        <w:tc>
          <w:tcPr>
            <w:tcW w:w="1484"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p>
        </w:tc>
        <w:tc>
          <w:tcPr>
            <w:tcW w:w="148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职称</w:t>
            </w:r>
          </w:p>
        </w:tc>
        <w:tc>
          <w:tcPr>
            <w:tcW w:w="148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p>
        </w:tc>
        <w:tc>
          <w:tcPr>
            <w:tcW w:w="148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学历</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2235"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参加工作时间</w:t>
            </w:r>
          </w:p>
        </w:tc>
        <w:tc>
          <w:tcPr>
            <w:tcW w:w="2215"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宋体" w:hAnsi="宋体" w:eastAsia="宋体" w:cs="宋体"/>
                <w:b w:val="0"/>
                <w:bCs w:val="0"/>
                <w:sz w:val="24"/>
                <w:szCs w:val="24"/>
              </w:rPr>
            </w:pPr>
          </w:p>
        </w:tc>
        <w:tc>
          <w:tcPr>
            <w:tcW w:w="2321"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宋体" w:hAnsi="宋体" w:eastAsia="宋体" w:cs="宋体"/>
                <w:b w:val="0"/>
                <w:bCs w:val="0"/>
                <w:sz w:val="24"/>
                <w:szCs w:val="24"/>
                <w:lang w:eastAsia="zh-CN"/>
              </w:rPr>
            </w:pPr>
            <w:r>
              <w:rPr>
                <w:rFonts w:hint="eastAsia" w:ascii="宋体" w:hAnsi="宋体" w:cs="宋体"/>
                <w:b w:val="0"/>
                <w:bCs w:val="0"/>
                <w:sz w:val="24"/>
                <w:szCs w:val="24"/>
                <w:lang w:eastAsia="zh-CN"/>
              </w:rPr>
              <w:t>联系方式</w:t>
            </w:r>
          </w:p>
        </w:tc>
        <w:tc>
          <w:tcPr>
            <w:tcW w:w="213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8901" w:type="dxa"/>
            <w:gridSpan w:val="12"/>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已完成工程项目</w:t>
            </w:r>
            <w:r>
              <w:rPr>
                <w:rFonts w:hint="eastAsia" w:ascii="宋体" w:hAnsi="宋体" w:cs="宋体"/>
                <w:b w:val="0"/>
                <w:bCs w:val="0"/>
                <w:sz w:val="24"/>
                <w:szCs w:val="24"/>
                <w:lang w:eastAsia="zh-CN"/>
              </w:rPr>
              <w:t>业绩</w:t>
            </w:r>
            <w:r>
              <w:rPr>
                <w:rFonts w:hint="eastAsia" w:ascii="宋体" w:hAnsi="宋体" w:eastAsia="宋体" w:cs="宋体"/>
                <w:b w:val="0"/>
                <w:bCs w:val="0"/>
                <w:sz w:val="24"/>
                <w:szCs w:val="24"/>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178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r>
              <w:rPr>
                <w:rFonts w:hint="eastAsia" w:ascii="宋体" w:hAnsi="宋体" w:cs="宋体"/>
                <w:b w:val="0"/>
                <w:bCs w:val="0"/>
                <w:sz w:val="24"/>
                <w:szCs w:val="24"/>
                <w:lang w:eastAsia="zh-CN"/>
              </w:rPr>
              <w:t>项目业绩名称</w:t>
            </w:r>
          </w:p>
        </w:tc>
        <w:tc>
          <w:tcPr>
            <w:tcW w:w="178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rPr>
            </w:pPr>
            <w:r>
              <w:rPr>
                <w:rFonts w:hint="eastAsia" w:ascii="宋体" w:hAnsi="宋体" w:cs="宋体"/>
                <w:b w:val="0"/>
                <w:bCs w:val="0"/>
                <w:sz w:val="24"/>
                <w:szCs w:val="24"/>
                <w:lang w:eastAsia="zh-CN"/>
              </w:rPr>
              <w:t>业绩情况</w:t>
            </w:r>
          </w:p>
        </w:tc>
        <w:tc>
          <w:tcPr>
            <w:tcW w:w="178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sz w:val="24"/>
                <w:szCs w:val="24"/>
                <w:lang w:eastAsia="zh-CN"/>
              </w:rPr>
            </w:pPr>
            <w:r>
              <w:rPr>
                <w:rFonts w:hint="eastAsia" w:ascii="宋体" w:hAnsi="宋体" w:cs="宋体"/>
                <w:b w:val="0"/>
                <w:bCs w:val="0"/>
                <w:sz w:val="24"/>
                <w:szCs w:val="24"/>
                <w:lang w:eastAsia="zh-CN"/>
              </w:rPr>
              <w:t>项目造价</w:t>
            </w:r>
          </w:p>
        </w:tc>
        <w:tc>
          <w:tcPr>
            <w:tcW w:w="178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kern w:val="2"/>
                <w:sz w:val="24"/>
                <w:szCs w:val="24"/>
                <w:lang w:val="en-US" w:eastAsia="zh-CN" w:bidi="ar-SA"/>
              </w:rPr>
            </w:pPr>
            <w:r>
              <w:rPr>
                <w:rFonts w:hint="eastAsia" w:ascii="宋体" w:hAnsi="宋体" w:cs="宋体"/>
                <w:b w:val="0"/>
                <w:bCs w:val="0"/>
                <w:sz w:val="24"/>
                <w:szCs w:val="24"/>
                <w:lang w:eastAsia="zh-CN"/>
              </w:rPr>
              <w:t>负责工作内容</w:t>
            </w:r>
          </w:p>
        </w:tc>
        <w:tc>
          <w:tcPr>
            <w:tcW w:w="1781"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b w:val="0"/>
                <w:bCs w:val="0"/>
                <w:kern w:val="2"/>
                <w:sz w:val="24"/>
                <w:szCs w:val="24"/>
                <w:lang w:val="en-US" w:eastAsia="zh-CN" w:bidi="ar-SA"/>
              </w:rPr>
            </w:pPr>
            <w:r>
              <w:rPr>
                <w:rFonts w:hint="eastAsia" w:ascii="宋体" w:hAnsi="宋体" w:cs="宋体"/>
                <w:b w:val="0"/>
                <w:bCs w:val="0"/>
                <w:sz w:val="24"/>
                <w:szCs w:val="24"/>
                <w:lang w:eastAsia="zh-CN"/>
              </w:rPr>
              <w:t>项目委派时间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default" w:ascii="宋体" w:hAnsi="宋体" w:eastAsia="宋体" w:cs="宋体"/>
                <w:sz w:val="24"/>
                <w:szCs w:val="24"/>
                <w:lang w:val="en-US" w:eastAsia="zh-CN"/>
              </w:rPr>
            </w:pPr>
            <w:r>
              <w:rPr>
                <w:rFonts w:hint="eastAsia" w:ascii="宋体" w:hAnsi="宋体" w:cs="宋体"/>
                <w:sz w:val="24"/>
                <w:szCs w:val="24"/>
                <w:lang w:val="en-US" w:eastAsia="zh-CN"/>
              </w:rPr>
              <w:t>例：***项目</w:t>
            </w: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default" w:ascii="宋体" w:hAnsi="宋体" w:eastAsia="宋体" w:cs="宋体"/>
                <w:sz w:val="24"/>
                <w:szCs w:val="24"/>
                <w:lang w:val="en-US" w:eastAsia="zh-CN"/>
              </w:rPr>
            </w:pPr>
            <w:r>
              <w:rPr>
                <w:rFonts w:hint="eastAsia" w:ascii="宋体" w:hAnsi="宋体" w:cs="宋体"/>
                <w:sz w:val="24"/>
                <w:szCs w:val="24"/>
                <w:lang w:eastAsia="zh-CN"/>
              </w:rPr>
              <w:t>控制价编制</w:t>
            </w:r>
            <w:r>
              <w:rPr>
                <w:rFonts w:hint="eastAsia" w:ascii="宋体" w:hAnsi="宋体" w:cs="宋体"/>
                <w:sz w:val="24"/>
                <w:szCs w:val="24"/>
                <w:lang w:val="en-US" w:eastAsia="zh-CN"/>
              </w:rPr>
              <w:t>/结算审核/全过程造价咨询等</w:t>
            </w:r>
          </w:p>
        </w:tc>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default" w:ascii="宋体" w:hAnsi="宋体" w:eastAsia="宋体" w:cs="宋体"/>
                <w:sz w:val="24"/>
                <w:szCs w:val="24"/>
                <w:lang w:val="en-US" w:eastAsia="zh-CN"/>
              </w:rPr>
            </w:pPr>
            <w:r>
              <w:rPr>
                <w:rFonts w:hint="eastAsia" w:ascii="宋体" w:hAnsi="宋体" w:cs="宋体"/>
                <w:sz w:val="24"/>
                <w:szCs w:val="24"/>
                <w:lang w:val="en-US" w:eastAsia="zh-CN"/>
              </w:rPr>
              <w:t>20000万元</w:t>
            </w: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default" w:ascii="宋体" w:hAnsi="宋体" w:eastAsia="宋体" w:cs="宋体"/>
                <w:sz w:val="24"/>
                <w:szCs w:val="24"/>
                <w:lang w:val="en-US" w:eastAsia="zh-CN"/>
              </w:rPr>
            </w:pPr>
            <w:r>
              <w:rPr>
                <w:rFonts w:hint="eastAsia" w:ascii="宋体" w:hAnsi="宋体" w:cs="宋体"/>
                <w:sz w:val="24"/>
                <w:szCs w:val="24"/>
                <w:lang w:eastAsia="zh-CN"/>
              </w:rPr>
              <w:t>编制</w:t>
            </w:r>
            <w:r>
              <w:rPr>
                <w:rFonts w:hint="eastAsia" w:ascii="宋体" w:hAnsi="宋体" w:cs="宋体"/>
                <w:sz w:val="24"/>
                <w:szCs w:val="24"/>
                <w:lang w:val="en-US" w:eastAsia="zh-CN"/>
              </w:rPr>
              <w:t>/审核/复核等</w:t>
            </w:r>
          </w:p>
        </w:tc>
        <w:tc>
          <w:tcPr>
            <w:tcW w:w="1781"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default" w:ascii="宋体" w:hAnsi="宋体" w:eastAsia="宋体" w:cs="宋体"/>
                <w:sz w:val="24"/>
                <w:szCs w:val="24"/>
                <w:lang w:val="en-US" w:eastAsia="zh-CN"/>
              </w:rPr>
            </w:pPr>
            <w:r>
              <w:rPr>
                <w:rFonts w:hint="eastAsia" w:ascii="宋体" w:hAnsi="宋体" w:cs="宋体"/>
                <w:sz w:val="24"/>
                <w:szCs w:val="24"/>
                <w:lang w:val="en-US" w:eastAsia="zh-CN"/>
              </w:rPr>
              <w:t>2020年1月1日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1"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1"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1"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1"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1"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1"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1"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1"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0"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c>
          <w:tcPr>
            <w:tcW w:w="1781"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sz w:val="24"/>
                <w:szCs w:val="24"/>
              </w:rPr>
            </w:pPr>
          </w:p>
        </w:tc>
      </w:tr>
    </w:tbl>
    <w:p>
      <w:pPr>
        <w:spacing w:line="360" w:lineRule="auto"/>
        <w:rPr>
          <w:rFonts w:hint="eastAsia" w:ascii="宋体" w:hAnsi="宋体" w:eastAsia="宋体" w:cs="宋体"/>
          <w:b/>
          <w:bCs/>
          <w:sz w:val="24"/>
          <w:szCs w:val="24"/>
        </w:rPr>
      </w:pPr>
    </w:p>
    <w:p>
      <w:pPr>
        <w:spacing w:line="360" w:lineRule="auto"/>
        <w:ind w:right="560"/>
        <w:jc w:val="left"/>
        <w:rPr>
          <w:rFonts w:hint="eastAsia" w:ascii="宋体" w:hAnsi="宋体" w:eastAsia="宋体" w:cs="宋体"/>
          <w:sz w:val="24"/>
          <w:szCs w:val="24"/>
        </w:rPr>
      </w:pPr>
      <w:r>
        <w:rPr>
          <w:rFonts w:hint="eastAsia" w:ascii="宋体" w:hAnsi="宋体" w:eastAsia="宋体" w:cs="宋体"/>
          <w:sz w:val="24"/>
          <w:szCs w:val="24"/>
        </w:rPr>
        <w:t>法定代表人或代理人（签字或盖章）：</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投标单位（盖章）：</w:t>
      </w:r>
    </w:p>
    <w:p>
      <w:pPr>
        <w:spacing w:line="360" w:lineRule="auto"/>
        <w:ind w:right="480"/>
        <w:jc w:val="right"/>
        <w:rPr>
          <w:rFonts w:hint="eastAsia" w:ascii="宋体" w:hAnsi="宋体" w:eastAsia="宋体" w:cs="宋体"/>
          <w:b/>
          <w:sz w:val="24"/>
          <w:szCs w:val="24"/>
        </w:rPr>
      </w:pPr>
      <w:r>
        <w:rPr>
          <w:rFonts w:hint="eastAsia" w:ascii="宋体" w:hAnsi="宋体" w:eastAsia="宋体" w:cs="宋体"/>
          <w:sz w:val="24"/>
          <w:szCs w:val="24"/>
        </w:rPr>
        <w:t>年   月   日</w:t>
      </w:r>
    </w:p>
    <w:p>
      <w:pPr>
        <w:spacing w:line="360" w:lineRule="auto"/>
        <w:jc w:val="center"/>
        <w:rPr>
          <w:rFonts w:hint="eastAsia" w:ascii="宋体" w:hAnsi="宋体" w:cs="宋体"/>
          <w:b/>
          <w:sz w:val="30"/>
          <w:szCs w:val="30"/>
          <w:lang w:eastAsia="zh-CN"/>
        </w:rPr>
      </w:pPr>
    </w:p>
    <w:p>
      <w:pPr>
        <w:rPr>
          <w:rFonts w:hint="eastAsia" w:ascii="宋体" w:hAnsi="宋体" w:cs="宋体"/>
          <w:b/>
          <w:bCs/>
          <w:i w:val="0"/>
          <w:iCs w:val="0"/>
          <w:color w:val="000000"/>
          <w:kern w:val="0"/>
          <w:sz w:val="28"/>
          <w:szCs w:val="28"/>
          <w:u w:val="none"/>
          <w:lang w:val="en-US" w:eastAsia="zh-CN" w:bidi="ar"/>
        </w:rPr>
      </w:pPr>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537B93"/>
    <w:rsid w:val="0D1619D5"/>
    <w:rsid w:val="12423DD4"/>
    <w:rsid w:val="12F009D9"/>
    <w:rsid w:val="1F78141F"/>
    <w:rsid w:val="20152ECD"/>
    <w:rsid w:val="27A25C52"/>
    <w:rsid w:val="28CC5ABC"/>
    <w:rsid w:val="2A83614A"/>
    <w:rsid w:val="31CC10FA"/>
    <w:rsid w:val="33A91A65"/>
    <w:rsid w:val="35537B93"/>
    <w:rsid w:val="392A6FA1"/>
    <w:rsid w:val="3DE316AA"/>
    <w:rsid w:val="3FFA0C49"/>
    <w:rsid w:val="41684E1A"/>
    <w:rsid w:val="4182580C"/>
    <w:rsid w:val="44A652EE"/>
    <w:rsid w:val="45E2796D"/>
    <w:rsid w:val="49270264"/>
    <w:rsid w:val="4DBD5790"/>
    <w:rsid w:val="52402F65"/>
    <w:rsid w:val="54554078"/>
    <w:rsid w:val="585D6E7E"/>
    <w:rsid w:val="5E941D1C"/>
    <w:rsid w:val="608B476F"/>
    <w:rsid w:val="62FB12FF"/>
    <w:rsid w:val="63F211AE"/>
    <w:rsid w:val="66722A16"/>
    <w:rsid w:val="69DE4DB5"/>
    <w:rsid w:val="6B0A504C"/>
    <w:rsid w:val="6C9871D4"/>
    <w:rsid w:val="70A958B6"/>
    <w:rsid w:val="71B32370"/>
    <w:rsid w:val="75D62894"/>
    <w:rsid w:val="7C5F22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2">
    <w:name w:val="heading 2"/>
    <w:basedOn w:val="1"/>
    <w:next w:val="1"/>
    <w:qFormat/>
    <w:uiPriority w:val="0"/>
    <w:pPr>
      <w:keepNext/>
      <w:keepLines/>
      <w:spacing w:before="260" w:after="260" w:line="412" w:lineRule="auto"/>
      <w:outlineLvl w:val="1"/>
    </w:pPr>
    <w:rPr>
      <w:rFonts w:ascii="Arial" w:hAnsi="Arial" w:eastAsia="黑体"/>
      <w:b/>
      <w:kern w:val="0"/>
      <w:sz w:val="32"/>
      <w:szCs w:val="2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style>
  <w:style w:type="paragraph" w:styleId="5">
    <w:name w:val="Body Text First Indent"/>
    <w:basedOn w:val="4"/>
    <w:qFormat/>
    <w:uiPriority w:val="0"/>
    <w:pPr>
      <w:spacing w:line="312" w:lineRule="auto"/>
      <w:ind w:firstLine="420"/>
    </w:pPr>
    <w:rPr>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2021-06-15T02:06:00Z</dcterms:created>
  <dc:creator>Sissi</dc:creator>
  <cp:lastModifiedBy>netuser</cp:lastModifiedBy>
  <dcterms:modified xsi:type="dcterms:W3CDTF">2021-06-21T00:46:44Z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2A0975405F6D47E5B5C3DB4A29D20BCA</vt:lpwstr>
  </property>
</Properties>
</file>