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1" w:leftChars="-67" w:hanging="140" w:hangingChars="50"/>
        <w:rPr>
          <w:rFonts w:hint="eastAsia" w:ascii="微软雅黑" w:hAnsi="微软雅黑" w:eastAsia="微软雅黑"/>
          <w:b/>
          <w:sz w:val="28"/>
          <w:szCs w:val="28"/>
          <w:lang w:eastAsia="zh-CN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附件</w:t>
      </w:r>
      <w:r>
        <w:rPr>
          <w:rFonts w:hint="eastAsia" w:ascii="微软雅黑" w:hAnsi="微软雅黑" w:eastAsia="微软雅黑"/>
          <w:b/>
          <w:sz w:val="28"/>
          <w:szCs w:val="28"/>
          <w:lang w:val="en-US" w:eastAsia="zh-CN"/>
        </w:rPr>
        <w:t>1</w:t>
      </w:r>
    </w:p>
    <w:p>
      <w:pPr>
        <w:spacing w:before="624" w:beforeLines="200" w:after="312" w:afterLines="100" w:line="360" w:lineRule="auto"/>
        <w:jc w:val="center"/>
        <w:rPr>
          <w:rFonts w:ascii="宋体" w:hAnsi="宋体"/>
          <w:b/>
          <w:sz w:val="44"/>
          <w:szCs w:val="30"/>
        </w:rPr>
      </w:pPr>
      <w:r>
        <w:rPr>
          <w:rFonts w:hint="eastAsia" w:ascii="宋体" w:hAnsi="宋体"/>
          <w:b/>
          <w:sz w:val="44"/>
          <w:szCs w:val="30"/>
        </w:rPr>
        <w:t>一体化预约系统支撑体系建设（一期）需求</w:t>
      </w:r>
    </w:p>
    <w:p>
      <w:pPr>
        <w:pStyle w:val="2"/>
        <w:numPr>
          <w:ilvl w:val="0"/>
          <w:numId w:val="3"/>
        </w:numPr>
        <w:rPr>
          <w:rFonts w:ascii="宋体" w:hAnsi="宋体"/>
        </w:rPr>
      </w:pPr>
      <w:r>
        <w:rPr>
          <w:rFonts w:hint="eastAsia" w:ascii="宋体" w:hAnsi="宋体"/>
        </w:rPr>
        <w:t>项目名称</w:t>
      </w:r>
    </w:p>
    <w:p>
      <w:pPr>
        <w:spacing w:line="360" w:lineRule="auto"/>
        <w:ind w:left="432"/>
        <w:rPr>
          <w:rFonts w:ascii="宋体" w:hAnsi="宋体"/>
          <w:sz w:val="22"/>
        </w:rPr>
      </w:pPr>
      <w:r>
        <w:rPr>
          <w:rFonts w:hint="eastAsia" w:ascii="宋体" w:hAnsi="宋体"/>
          <w:sz w:val="22"/>
        </w:rPr>
        <w:t>项目名称：一体化预约系统支撑体系建设（一期）</w:t>
      </w:r>
    </w:p>
    <w:p>
      <w:pPr>
        <w:pStyle w:val="2"/>
        <w:numPr>
          <w:ilvl w:val="0"/>
          <w:numId w:val="3"/>
        </w:numPr>
      </w:pPr>
      <w:r>
        <w:rPr>
          <w:rFonts w:hint="eastAsia" w:ascii="宋体" w:hAnsi="宋体"/>
        </w:rPr>
        <w:t>需求内容</w:t>
      </w:r>
    </w:p>
    <w:tbl>
      <w:tblPr>
        <w:tblStyle w:val="18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3119"/>
        <w:gridCol w:w="4678"/>
        <w:gridCol w:w="8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序号</w:t>
            </w:r>
          </w:p>
        </w:tc>
        <w:tc>
          <w:tcPr>
            <w:tcW w:w="3119" w:type="dxa"/>
          </w:tcPr>
          <w:p>
            <w:r>
              <w:rPr>
                <w:rFonts w:hint="eastAsia"/>
              </w:rPr>
              <w:t>名称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 xml:space="preserve">  配置描述</w:t>
            </w:r>
          </w:p>
        </w:tc>
        <w:tc>
          <w:tcPr>
            <w:tcW w:w="814" w:type="dxa"/>
          </w:tcPr>
          <w:p>
            <w:r>
              <w:rPr>
                <w:rFonts w:hint="eastAsia"/>
              </w:rPr>
              <w:t>数量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1</w:t>
            </w:r>
          </w:p>
        </w:tc>
        <w:tc>
          <w:tcPr>
            <w:tcW w:w="3119" w:type="dxa"/>
          </w:tcPr>
          <w:p>
            <w:r>
              <w:rPr>
                <w:rFonts w:hint="eastAsia"/>
              </w:rPr>
              <w:t>数据接入和数据交换层：</w:t>
            </w:r>
          </w:p>
          <w:p>
            <w:r>
              <w:rPr>
                <w:rFonts w:hint="eastAsia"/>
              </w:rPr>
              <w:t>要素资源所在POS（Point</w:t>
            </w:r>
            <w:r>
              <w:t xml:space="preserve"> </w:t>
            </w:r>
            <w:r>
              <w:rPr>
                <w:rFonts w:hint="eastAsia"/>
              </w:rPr>
              <w:t>of</w:t>
            </w:r>
            <w:r>
              <w:t xml:space="preserve"> </w:t>
            </w:r>
            <w:r>
              <w:rPr>
                <w:rFonts w:hint="eastAsia"/>
              </w:rPr>
              <w:t>Service）接入管理和要素资源数据交换。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接入现有的局部要素资源管理系统；</w:t>
            </w:r>
          </w:p>
          <w:p>
            <w:r>
              <w:rPr>
                <w:rFonts w:hint="eastAsia"/>
              </w:rPr>
              <w:t>实现相关要素资源的实时数据交换、数据映射和数据治理。</w:t>
            </w:r>
          </w:p>
          <w:p/>
        </w:tc>
        <w:tc>
          <w:tcPr>
            <w:tcW w:w="81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2</w:t>
            </w:r>
          </w:p>
        </w:tc>
        <w:tc>
          <w:tcPr>
            <w:tcW w:w="3119" w:type="dxa"/>
          </w:tcPr>
          <w:p>
            <w:r>
              <w:rPr>
                <w:rFonts w:hint="eastAsia"/>
              </w:rPr>
              <w:t>数据层：</w:t>
            </w:r>
          </w:p>
          <w:p>
            <w:r>
              <w:rPr>
                <w:rFonts w:hint="eastAsia"/>
              </w:rPr>
              <w:t>统一要素资源管理；</w:t>
            </w:r>
          </w:p>
          <w:p>
            <w:r>
              <w:rPr>
                <w:rFonts w:hint="eastAsia"/>
              </w:rPr>
              <w:t>资源调度规则库；</w:t>
            </w:r>
          </w:p>
          <w:p>
            <w:r>
              <w:rPr>
                <w:rFonts w:hint="eastAsia"/>
              </w:rPr>
              <w:t>患者个体化诊疗服务流程库；</w:t>
            </w:r>
          </w:p>
          <w:p>
            <w:r>
              <w:rPr>
                <w:rFonts w:hint="eastAsia"/>
              </w:rPr>
              <w:t>智能算法参数库；</w:t>
            </w:r>
          </w:p>
          <w:p>
            <w:r>
              <w:rPr>
                <w:rFonts w:hint="eastAsia"/>
              </w:rPr>
              <w:t>要素资源调度数据仓库等。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建立要素全局主索引，统一要素资源管理；</w:t>
            </w:r>
          </w:p>
          <w:p>
            <w:r>
              <w:rPr>
                <w:rFonts w:hint="eastAsia"/>
              </w:rPr>
              <w:t>主数据治理、字典数据管理、资源属性管理；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资源全局调度规则管理；</w:t>
            </w:r>
          </w:p>
          <w:p>
            <w:r>
              <w:rPr>
                <w:rFonts w:hint="eastAsia"/>
              </w:rPr>
              <w:t>患者个体化诊疗服务流程及转归/结局;</w:t>
            </w:r>
          </w:p>
          <w:p>
            <w:r>
              <w:rPr>
                <w:rFonts w:hint="eastAsia"/>
              </w:rPr>
              <w:t>智能优化算法参数；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要素资源调度数据仓库，服务使用效率和效果综合评估。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r>
              <w:rPr>
                <w:rFonts w:hint="eastAsia"/>
              </w:rPr>
              <w:t>3</w:t>
            </w:r>
          </w:p>
        </w:tc>
        <w:tc>
          <w:tcPr>
            <w:tcW w:w="3119" w:type="dxa"/>
          </w:tcPr>
          <w:p>
            <w:pPr>
              <w:jc w:val="left"/>
            </w:pPr>
            <w:r>
              <w:rPr>
                <w:rFonts w:hint="eastAsia"/>
              </w:rPr>
              <w:t>服务层：</w:t>
            </w:r>
          </w:p>
          <w:p>
            <w:pPr>
              <w:jc w:val="left"/>
            </w:pPr>
            <w:r>
              <w:rPr>
                <w:rFonts w:hint="eastAsia"/>
              </w:rPr>
              <w:t>诊疗全流程资源服务的全局调度；</w:t>
            </w:r>
          </w:p>
          <w:p>
            <w:pPr>
              <w:jc w:val="left"/>
            </w:pPr>
            <w:r>
              <w:rPr>
                <w:rFonts w:hint="eastAsia"/>
              </w:rPr>
              <w:t>统一要素资源投放辅助决策及实施管理（PDCA）；</w:t>
            </w:r>
          </w:p>
          <w:p>
            <w:pPr>
              <w:jc w:val="left"/>
            </w:pPr>
            <w:r>
              <w:rPr>
                <w:rFonts w:hint="eastAsia"/>
              </w:rPr>
              <w:t>要素资源使用效率和效果评估。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诊疗全流程资源服务的全局调度，包括资源服务中台、智能调度优化算法和规则引擎；</w:t>
            </w:r>
          </w:p>
          <w:p>
            <w:r>
              <w:rPr>
                <w:rFonts w:hint="eastAsia"/>
              </w:rPr>
              <w:t>统一要素资源投放辅助决策：投放策略建议、投放策略管理、投放效果评估；</w:t>
            </w:r>
          </w:p>
          <w:p>
            <w:r>
              <w:rPr>
                <w:rFonts w:hint="eastAsia"/>
              </w:rPr>
              <w:t>要素资源使用效率和效果的统计学评估：相关指标的计算模型。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3119" w:type="dxa"/>
          </w:tcPr>
          <w:p>
            <w:pPr>
              <w:jc w:val="left"/>
            </w:pPr>
            <w:r>
              <w:rPr>
                <w:rFonts w:hint="eastAsia"/>
              </w:rPr>
              <w:t>应用层：</w:t>
            </w:r>
          </w:p>
          <w:p>
            <w:pPr>
              <w:jc w:val="left"/>
            </w:pPr>
            <w:r>
              <w:rPr>
                <w:rFonts w:hint="eastAsia"/>
              </w:rPr>
              <w:t>预约具体环节的必要用户交互；</w:t>
            </w:r>
          </w:p>
          <w:p>
            <w:pPr>
              <w:jc w:val="left"/>
            </w:pPr>
            <w:r>
              <w:rPr>
                <w:rFonts w:hint="eastAsia"/>
              </w:rPr>
              <w:t>患者个体化全要素资源预约结果展示；</w:t>
            </w:r>
          </w:p>
          <w:p>
            <w:pPr>
              <w:jc w:val="left"/>
            </w:pPr>
            <w:r>
              <w:rPr>
                <w:rFonts w:hint="eastAsia"/>
              </w:rPr>
              <w:t>要素资源的全局数据可视化；</w:t>
            </w:r>
          </w:p>
          <w:p>
            <w:pPr>
              <w:jc w:val="left"/>
            </w:pPr>
            <w:r>
              <w:rPr>
                <w:rFonts w:hint="eastAsia"/>
              </w:rPr>
              <w:t>系统能力接口开放。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涉及患者、医生/医技人员的预约具体环节交付，如治疗预约；</w:t>
            </w:r>
          </w:p>
          <w:p>
            <w:r>
              <w:rPr>
                <w:rFonts w:hint="eastAsia"/>
              </w:rPr>
              <w:t>患者院前院中院后全诊疗流程要素资源预约结果一体化视图；</w:t>
            </w:r>
          </w:p>
          <w:p>
            <w:r>
              <w:rPr>
                <w:rFonts w:hint="eastAsia"/>
              </w:rPr>
              <w:t>要素资源的全局数据可视化，自定义多维数据分析、使用效率和效果指标；</w:t>
            </w:r>
          </w:p>
          <w:p>
            <w:pPr>
              <w:rPr>
                <w:b/>
              </w:rPr>
            </w:pPr>
            <w:r>
              <w:rPr>
                <w:rFonts w:hint="eastAsia"/>
              </w:rPr>
              <w:t>系统能力接口开放，如一键预约接口开放给已有住院、手术、检查预约系统等。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1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jc w:val="left"/>
            </w:pPr>
            <w:r>
              <w:rPr>
                <w:rFonts w:hint="eastAsia"/>
              </w:rPr>
              <w:t>5</w:t>
            </w:r>
          </w:p>
        </w:tc>
        <w:tc>
          <w:tcPr>
            <w:tcW w:w="3119" w:type="dxa"/>
          </w:tcPr>
          <w:p>
            <w:pPr>
              <w:jc w:val="left"/>
            </w:pPr>
            <w:r>
              <w:rPr>
                <w:rFonts w:hint="eastAsia"/>
              </w:rPr>
              <w:t>硬件（医院统筹提供，不列入本项目预算）</w:t>
            </w:r>
          </w:p>
        </w:tc>
        <w:tc>
          <w:tcPr>
            <w:tcW w:w="4678" w:type="dxa"/>
          </w:tcPr>
          <w:p>
            <w:r>
              <w:rPr>
                <w:rFonts w:hint="eastAsia"/>
              </w:rPr>
              <w:t>2台数据交换服务器；2台DB服务器；</w:t>
            </w:r>
          </w:p>
          <w:p>
            <w:r>
              <w:rPr>
                <w:rFonts w:hint="eastAsia"/>
              </w:rPr>
              <w:t>2台后台服务器；2台AI算法服务器；</w:t>
            </w:r>
          </w:p>
          <w:p>
            <w:r>
              <w:rPr>
                <w:rFonts w:hint="eastAsia"/>
              </w:rPr>
              <w:t>2台前端服务器（具备Internet外网访问权限）。</w:t>
            </w:r>
          </w:p>
        </w:tc>
        <w:tc>
          <w:tcPr>
            <w:tcW w:w="814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</w:tr>
    </w:tbl>
    <w:p>
      <w:pPr>
        <w:pStyle w:val="47"/>
        <w:keepNext/>
        <w:keepLines/>
        <w:numPr>
          <w:ilvl w:val="0"/>
          <w:numId w:val="1"/>
        </w:numPr>
        <w:spacing w:before="340" w:after="330" w:line="578" w:lineRule="auto"/>
        <w:ind w:firstLineChars="0"/>
        <w:outlineLvl w:val="0"/>
        <w:rPr>
          <w:rFonts w:ascii="宋体" w:hAnsi="宋体" w:eastAsia="宋体"/>
          <w:b/>
          <w:bCs/>
          <w:vanish/>
          <w:kern w:val="44"/>
          <w:sz w:val="44"/>
          <w:szCs w:val="44"/>
        </w:rPr>
      </w:pPr>
    </w:p>
    <w:p>
      <w:pPr>
        <w:pStyle w:val="47"/>
        <w:keepNext/>
        <w:keepLines/>
        <w:numPr>
          <w:ilvl w:val="0"/>
          <w:numId w:val="1"/>
        </w:numPr>
        <w:spacing w:before="340" w:after="330" w:line="578" w:lineRule="auto"/>
        <w:ind w:firstLineChars="0"/>
        <w:outlineLvl w:val="0"/>
        <w:rPr>
          <w:rFonts w:ascii="宋体" w:hAnsi="宋体" w:eastAsia="宋体"/>
          <w:b/>
          <w:bCs/>
          <w:vanish/>
          <w:kern w:val="44"/>
          <w:sz w:val="44"/>
          <w:szCs w:val="44"/>
        </w:rPr>
      </w:pPr>
    </w:p>
    <w:p>
      <w:pPr>
        <w:pStyle w:val="47"/>
        <w:keepNext/>
        <w:keepLines/>
        <w:numPr>
          <w:ilvl w:val="0"/>
          <w:numId w:val="1"/>
        </w:numPr>
        <w:spacing w:before="340" w:after="330" w:line="578" w:lineRule="auto"/>
        <w:ind w:firstLineChars="0"/>
        <w:outlineLvl w:val="0"/>
        <w:rPr>
          <w:rFonts w:ascii="宋体" w:hAnsi="宋体" w:eastAsia="宋体"/>
          <w:b/>
          <w:bCs/>
          <w:vanish/>
          <w:kern w:val="44"/>
          <w:sz w:val="44"/>
          <w:szCs w:val="44"/>
        </w:rPr>
      </w:pPr>
    </w:p>
    <w:p>
      <w:pPr>
        <w:pStyle w:val="47"/>
        <w:keepNext/>
        <w:keepLines/>
        <w:numPr>
          <w:ilvl w:val="1"/>
          <w:numId w:val="1"/>
        </w:numPr>
        <w:spacing w:before="340" w:after="330" w:line="578" w:lineRule="auto"/>
        <w:ind w:firstLineChars="0"/>
        <w:outlineLvl w:val="0"/>
        <w:rPr>
          <w:rFonts w:ascii="宋体" w:hAnsi="宋体" w:eastAsia="宋体"/>
          <w:b/>
          <w:bCs/>
          <w:vanish/>
          <w:kern w:val="44"/>
          <w:sz w:val="44"/>
          <w:szCs w:val="44"/>
        </w:rPr>
      </w:pPr>
    </w:p>
    <w:p>
      <w:pPr>
        <w:pStyle w:val="2"/>
        <w:numPr>
          <w:ilvl w:val="0"/>
          <w:numId w:val="3"/>
        </w:numPr>
        <w:rPr>
          <w:rFonts w:ascii="宋体" w:hAnsi="宋体"/>
        </w:rPr>
      </w:pPr>
      <w:r>
        <w:rPr>
          <w:rFonts w:hint="eastAsia" w:ascii="宋体" w:hAnsi="宋体"/>
        </w:rPr>
        <w:t>详细配置参数</w:t>
      </w:r>
    </w:p>
    <w:p>
      <w:pPr>
        <w:pStyle w:val="3"/>
        <w:rPr>
          <w:rFonts w:ascii="宋体" w:hAnsi="宋体" w:eastAsia="宋体"/>
          <w:sz w:val="24"/>
          <w:szCs w:val="24"/>
        </w:rPr>
      </w:pPr>
      <w:bookmarkStart w:id="0" w:name="_6.1.1、大数据服务器"/>
      <w:bookmarkEnd w:id="0"/>
      <w:r>
        <w:rPr>
          <w:rFonts w:ascii="宋体" w:hAnsi="宋体" w:eastAsia="宋体"/>
          <w:sz w:val="24"/>
          <w:szCs w:val="24"/>
        </w:rPr>
        <w:t>3.1.1</w:t>
      </w:r>
      <w:r>
        <w:rPr>
          <w:rFonts w:hint="eastAsia" w:ascii="宋体" w:hAnsi="宋体" w:eastAsia="宋体"/>
          <w:sz w:val="24"/>
          <w:szCs w:val="24"/>
        </w:rPr>
        <w:t>、数据接入和数据交换</w:t>
      </w:r>
    </w:p>
    <w:tbl>
      <w:tblPr>
        <w:tblStyle w:val="18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220"/>
        <w:gridCol w:w="70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指标项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指标要求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POS管理</w:t>
            </w:r>
          </w:p>
        </w:tc>
        <w:tc>
          <w:tcPr>
            <w:tcW w:w="3781" w:type="pc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支持现有挂号记录、诊断、住院记录、医技（检查）预约、手术预约等涉及要素资源调度的应用系统接入，获得资源排班放号数据和占用数据，以及和调度优化的相关诊疗服务数据。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交换方式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支持DB、web</w:t>
            </w:r>
            <w:r>
              <w:rPr>
                <w:rFonts w:ascii="宋体" w:hAnsi="宋体" w:cs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service接口方式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增量采集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DB数据ETL交换，支持基于时间戳和索引的增量数据采集；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数据映射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标准建立，以及字段映射、字段值域映射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数据质控</w:t>
            </w:r>
          </w:p>
        </w:tc>
        <w:tc>
          <w:tcPr>
            <w:tcW w:w="3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数据的完整性、准确性和一致性校验</w:t>
            </w:r>
          </w:p>
        </w:tc>
      </w:tr>
    </w:tbl>
    <w:p>
      <w:pPr>
        <w:pStyle w:val="3"/>
        <w:rPr>
          <w:rFonts w:ascii="宋体" w:hAnsi="宋体" w:eastAsia="宋体"/>
          <w:sz w:val="24"/>
          <w:szCs w:val="24"/>
        </w:rPr>
      </w:pPr>
      <w:bookmarkStart w:id="1" w:name="_6.1.2、容器服务器"/>
      <w:bookmarkEnd w:id="1"/>
      <w:r>
        <w:rPr>
          <w:rFonts w:ascii="宋体" w:hAnsi="宋体" w:eastAsia="宋体"/>
          <w:sz w:val="24"/>
          <w:szCs w:val="24"/>
        </w:rPr>
        <w:t>3.1.2</w:t>
      </w:r>
      <w:r>
        <w:rPr>
          <w:rFonts w:hint="eastAsia" w:ascii="宋体" w:hAnsi="宋体" w:eastAsia="宋体"/>
          <w:sz w:val="24"/>
          <w:szCs w:val="24"/>
        </w:rPr>
        <w:t>、数据层</w:t>
      </w:r>
    </w:p>
    <w:tbl>
      <w:tblPr>
        <w:tblStyle w:val="18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220"/>
        <w:gridCol w:w="70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指标项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指标要求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主索引</w:t>
            </w:r>
          </w:p>
        </w:tc>
        <w:tc>
          <w:tcPr>
            <w:tcW w:w="3781" w:type="pc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要素资源全局主索引、患者主索引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数据维护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7"/>
              <w:spacing w:line="276" w:lineRule="auto"/>
              <w:ind w:firstLine="0" w:firstLineChars="0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主数据治理、数据字典维护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资源属性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7"/>
              <w:spacing w:line="276" w:lineRule="auto"/>
              <w:ind w:firstLine="0" w:firstLineChars="0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资源属性维护，包括资源放号和使用相关信息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调度规则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47"/>
              <w:spacing w:line="276" w:lineRule="auto"/>
              <w:ind w:firstLine="0" w:firstLineChars="0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局部环节预约依赖规则、冲突规则；</w:t>
            </w:r>
          </w:p>
          <w:p>
            <w:pPr>
              <w:pStyle w:val="47"/>
              <w:spacing w:line="276" w:lineRule="auto"/>
              <w:ind w:firstLine="0" w:firstLineChars="0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基于患者病情（诊断）和治疗的全局环节资源调度规则。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个体流程</w:t>
            </w:r>
          </w:p>
        </w:tc>
        <w:tc>
          <w:tcPr>
            <w:tcW w:w="3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代表性重点专病诊疗资源占用、效率和效果建模；</w:t>
            </w:r>
          </w:p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患者个体化诊疗服务预约资源调度序列和执行。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智能算法</w:t>
            </w:r>
          </w:p>
        </w:tc>
        <w:tc>
          <w:tcPr>
            <w:tcW w:w="3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算法相关参数，如全局寻优算法、目标函数配置、聚类分析方法、离散度分析、神经网络训练参数等。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数据仓库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要素资源调度数据仓库，服务多维数据分析和可视化，统计学分析。</w:t>
            </w:r>
          </w:p>
        </w:tc>
      </w:tr>
    </w:tbl>
    <w:p>
      <w:pPr>
        <w:pStyle w:val="3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3.1.3</w:t>
      </w:r>
      <w:r>
        <w:rPr>
          <w:rFonts w:hint="eastAsia" w:ascii="宋体" w:hAnsi="宋体" w:eastAsia="宋体"/>
          <w:sz w:val="24"/>
          <w:szCs w:val="24"/>
        </w:rPr>
        <w:t>、服务层</w:t>
      </w:r>
    </w:p>
    <w:tbl>
      <w:tblPr>
        <w:tblStyle w:val="18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1332"/>
        <w:gridCol w:w="69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tblHeader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bookmarkStart w:id="2" w:name="_GoBack" w:colFirst="0" w:colLast="2"/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7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指标项</w:t>
            </w:r>
          </w:p>
        </w:tc>
        <w:tc>
          <w:tcPr>
            <w:tcW w:w="37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指标要求</w:t>
            </w:r>
          </w:p>
        </w:tc>
      </w:tr>
      <w:bookmarkEnd w:id="2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717" w:type="pc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技术架构</w:t>
            </w:r>
          </w:p>
        </w:tc>
        <w:tc>
          <w:tcPr>
            <w:tcW w:w="3721" w:type="pc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系统采取前后端分离的技术，前端H5页面通过AJAX调用后端的RESTFUL API接口并使用JSON数据进行交互，后台采用微服务方式，为前端各业务模块提供数据接口。界面处理、业务逻辑、数据运算分离，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7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消息队列</w:t>
            </w:r>
          </w:p>
        </w:tc>
        <w:tc>
          <w:tcPr>
            <w:tcW w:w="37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服务提醒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7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全局调度</w:t>
            </w:r>
          </w:p>
        </w:tc>
        <w:tc>
          <w:tcPr>
            <w:tcW w:w="37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算法引擎，支持单指标目标函数的全局调度优化，如缩短平均住院日等。</w:t>
            </w:r>
          </w:p>
          <w:p>
            <w:pPr>
              <w:pStyle w:val="47"/>
              <w:spacing w:line="276" w:lineRule="auto"/>
              <w:ind w:firstLine="0" w:firstLineChars="0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支持自定义目标指标的设定。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7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辅助决策</w:t>
            </w:r>
          </w:p>
        </w:tc>
        <w:tc>
          <w:tcPr>
            <w:tcW w:w="37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要素资源的评价指标配置，如资源使用效率、效果评估等；</w:t>
            </w:r>
          </w:p>
          <w:p>
            <w:pPr>
              <w:widowControl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专病全周期管理的资源调度建模；</w:t>
            </w:r>
          </w:p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支持瓶颈资源的自动识别，即瓶颈环节与调度目标的相关性强度自动分析，以定位瓶颈资源，并给出优化调度策略。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7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可视化工具</w:t>
            </w:r>
          </w:p>
        </w:tc>
        <w:tc>
          <w:tcPr>
            <w:tcW w:w="37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柱状图、饼图、折线图、热点图等方式自定义要素资源的可视化模型；</w:t>
            </w:r>
          </w:p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支持数值型单变量的最大值、均值、中值、最小值、计数、求和等运算；</w:t>
            </w:r>
          </w:p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支持日期型字段的粒度设置，包括年、季度、月、日等；</w:t>
            </w:r>
          </w:p>
          <w:p>
            <w:pPr>
              <w:widowControl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支持数值型多变量公式自定义及运算。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7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工作流引擎</w:t>
            </w:r>
          </w:p>
        </w:tc>
        <w:tc>
          <w:tcPr>
            <w:tcW w:w="372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资源调度的工作流衔接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7</w:t>
            </w:r>
          </w:p>
        </w:tc>
        <w:tc>
          <w:tcPr>
            <w:tcW w:w="71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统计分析工具</w:t>
            </w:r>
          </w:p>
        </w:tc>
        <w:tc>
          <w:tcPr>
            <w:tcW w:w="372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支持定性分析；</w:t>
            </w:r>
          </w:p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支持多维数据分析；</w:t>
            </w:r>
          </w:p>
          <w:p>
            <w:pPr>
              <w:widowControl/>
              <w:rPr>
                <w:rFonts w:hint="eastAsia"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统计方法或算法包括</w:t>
            </w:r>
            <w:r>
              <w:rPr>
                <w:rFonts w:ascii="宋体" w:hAnsi="宋体" w:cs="宋体"/>
                <w:color w:val="000000"/>
                <w:szCs w:val="21"/>
              </w:rPr>
              <w:t>描述统计、正态性检验、单样本T检验、独立样本T检验、配对样本T检验、单因素方差分析、四格表卡方检验、RC列联卡方检验、相关、一元线性回归、多元线性回归、Logistic回归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算法。</w:t>
            </w:r>
          </w:p>
        </w:tc>
      </w:tr>
    </w:tbl>
    <w:p>
      <w:pPr>
        <w:pStyle w:val="3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3.1.4</w:t>
      </w:r>
      <w:r>
        <w:rPr>
          <w:rFonts w:hint="eastAsia" w:ascii="宋体" w:hAnsi="宋体" w:eastAsia="宋体"/>
          <w:sz w:val="24"/>
          <w:szCs w:val="24"/>
        </w:rPr>
        <w:t>、应用层</w:t>
      </w:r>
    </w:p>
    <w:tbl>
      <w:tblPr>
        <w:tblStyle w:val="18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220"/>
        <w:gridCol w:w="70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指标项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指标要求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可集成性</w:t>
            </w:r>
          </w:p>
        </w:tc>
        <w:tc>
          <w:tcPr>
            <w:tcW w:w="37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基于H</w:t>
            </w:r>
            <w:r>
              <w:rPr>
                <w:rFonts w:ascii="宋体" w:hAnsi="宋体" w:cs="宋体"/>
                <w:color w:val="000000"/>
                <w:szCs w:val="21"/>
              </w:rPr>
              <w:t>5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架构的响应式网站设计, 兼容多种终端，且方便被集成，如微信公众号、小程序、App、Pc</w:t>
            </w:r>
            <w:r>
              <w:rPr>
                <w:rFonts w:ascii="宋体" w:hAnsi="宋体" w:cs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Web、医生工作站等。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单点登录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支持患者基于微信号、手机、姓名和身份证号的统一身份认证。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预约交互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支持患者自行设定可接受预约自动安排的时段，手动或获得自动预约。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4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预约视图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支持患者查看诊疗全流程预约情况和执行情况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5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管理portal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可视化：支持柱状图、饼图、折线图方式自定义可视化要素资源；支持查看资源使用效率和效果指标。</w:t>
            </w:r>
          </w:p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登录：支持管理员微信、手机号和姓名登录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6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能力开放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支持以web</w:t>
            </w:r>
            <w:r>
              <w:rPr>
                <w:rFonts w:ascii="宋体" w:hAnsi="宋体" w:cs="宋体"/>
                <w:color w:val="00000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szCs w:val="21"/>
              </w:rPr>
              <w:t>service方式开放调度结果查询给院内相关POS系统</w:t>
            </w:r>
          </w:p>
        </w:tc>
      </w:tr>
    </w:tbl>
    <w:p>
      <w:pPr>
        <w:pStyle w:val="3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3.1.5</w:t>
      </w:r>
      <w:r>
        <w:rPr>
          <w:rFonts w:hint="eastAsia" w:ascii="宋体" w:hAnsi="宋体" w:eastAsia="宋体"/>
          <w:sz w:val="24"/>
          <w:szCs w:val="24"/>
        </w:rPr>
        <w:t>、硬件</w:t>
      </w:r>
    </w:p>
    <w:tbl>
      <w:tblPr>
        <w:tblStyle w:val="18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4"/>
        <w:gridCol w:w="1220"/>
        <w:gridCol w:w="70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指标项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Cs w:val="21"/>
              </w:rPr>
              <w:t>指标要求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562" w:type="pc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1</w:t>
            </w:r>
          </w:p>
        </w:tc>
        <w:tc>
          <w:tcPr>
            <w:tcW w:w="657" w:type="pc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部署方式</w:t>
            </w:r>
          </w:p>
        </w:tc>
        <w:tc>
          <w:tcPr>
            <w:tcW w:w="3781" w:type="pct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内网部署，支持患者端前端应用外网可访问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2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服务器配置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部署时根据性能要求确定（院方提供服务器）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5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3</w:t>
            </w:r>
          </w:p>
        </w:tc>
        <w:tc>
          <w:tcPr>
            <w:tcW w:w="657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算法服务器配置</w:t>
            </w:r>
          </w:p>
        </w:tc>
        <w:tc>
          <w:tcPr>
            <w:tcW w:w="378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部署时根据性能要求确定（院方提供服务器）</w:t>
            </w:r>
          </w:p>
        </w:tc>
      </w:tr>
    </w:tbl>
    <w:p>
      <w:pPr>
        <w:pStyle w:val="2"/>
        <w:numPr>
          <w:ilvl w:val="0"/>
          <w:numId w:val="0"/>
        </w:numPr>
        <w:ind w:left="432"/>
        <w:rPr>
          <w:rFonts w:ascii="宋体" w:hAnsi="宋体"/>
        </w:rPr>
        <w:sectPr>
          <w:footerReference r:id="rId3" w:type="default"/>
          <w:pgSz w:w="11906" w:h="16838"/>
          <w:pgMar w:top="1021" w:right="1418" w:bottom="1021" w:left="1418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ind w:left="-1" w:leftChars="-67" w:hanging="140" w:hangingChars="50"/>
        <w:rPr>
          <w:rFonts w:ascii="微软雅黑" w:hAnsi="微软雅黑" w:eastAsia="微软雅黑"/>
          <w:b/>
          <w:sz w:val="28"/>
          <w:szCs w:val="28"/>
        </w:rPr>
      </w:pPr>
      <w:r>
        <w:rPr>
          <w:rFonts w:hint="eastAsia" w:ascii="微软雅黑" w:hAnsi="微软雅黑" w:eastAsia="微软雅黑"/>
          <w:b/>
          <w:sz w:val="28"/>
          <w:szCs w:val="28"/>
        </w:rPr>
        <w:t>附件2</w:t>
      </w:r>
    </w:p>
    <w:p>
      <w:pPr>
        <w:spacing w:line="360" w:lineRule="auto"/>
        <w:ind w:left="19" w:leftChars="-67" w:hanging="160" w:hangingChars="50"/>
        <w:jc w:val="center"/>
        <w:rPr>
          <w:rFonts w:ascii="微软雅黑" w:hAnsi="微软雅黑" w:eastAsia="微软雅黑"/>
          <w:b/>
          <w:sz w:val="32"/>
          <w:szCs w:val="32"/>
        </w:rPr>
      </w:pPr>
      <w:r>
        <w:rPr>
          <w:rFonts w:ascii="微软雅黑" w:hAnsi="微软雅黑" w:eastAsia="微软雅黑"/>
          <w:b/>
          <w:sz w:val="32"/>
          <w:szCs w:val="32"/>
        </w:rPr>
        <w:t>报名资料要求</w:t>
      </w:r>
    </w:p>
    <w:tbl>
      <w:tblPr>
        <w:tblStyle w:val="18"/>
        <w:tblW w:w="1003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1285"/>
        <w:gridCol w:w="3992"/>
        <w:gridCol w:w="40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67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文件</w:t>
            </w:r>
          </w:p>
        </w:tc>
        <w:tc>
          <w:tcPr>
            <w:tcW w:w="128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类型</w:t>
            </w:r>
          </w:p>
        </w:tc>
        <w:tc>
          <w:tcPr>
            <w:tcW w:w="3992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内容</w:t>
            </w:r>
          </w:p>
        </w:tc>
        <w:tc>
          <w:tcPr>
            <w:tcW w:w="407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1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报价资料、</w:t>
            </w:r>
            <w:r>
              <w:rPr>
                <w:rFonts w:ascii="微软雅黑" w:hAnsi="微软雅黑" w:eastAsia="微软雅黑" w:cs="宋体"/>
                <w:bCs/>
                <w:kern w:val="0"/>
                <w:szCs w:val="21"/>
              </w:rPr>
              <w:t>后续维护服务</w:t>
            </w:r>
          </w:p>
        </w:tc>
        <w:tc>
          <w:tcPr>
            <w:tcW w:w="3992" w:type="dxa"/>
            <w:vAlign w:val="center"/>
          </w:tcPr>
          <w:p>
            <w:pPr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项目整体报价</w:t>
            </w:r>
            <w:r>
              <w:rPr>
                <w:rFonts w:hint="eastAsia" w:ascii="微软雅黑" w:hAnsi="微软雅黑" w:eastAsia="微软雅黑"/>
                <w:szCs w:val="21"/>
              </w:rPr>
              <w:t>及各功能点的响应情况和明细报价；</w:t>
            </w:r>
          </w:p>
        </w:tc>
        <w:tc>
          <w:tcPr>
            <w:tcW w:w="4075" w:type="dxa"/>
            <w:vMerge w:val="restart"/>
          </w:tcPr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（1）一份盖章扫描版，一份可编辑的WORD版或excel版；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</w:t>
            </w:r>
            <w:r>
              <w:rPr>
                <w:rFonts w:hint="eastAsia" w:ascii="微软雅黑" w:hAnsi="微软雅黑" w:eastAsia="微软雅黑"/>
                <w:sz w:val="32"/>
                <w:szCs w:val="32"/>
                <w:u w:val="single"/>
              </w:rPr>
              <w:t>报价函扫描版请加盖贵司公章</w:t>
            </w:r>
            <w:r>
              <w:rPr>
                <w:rFonts w:hint="eastAsia" w:ascii="微软雅黑" w:hAnsi="微软雅黑" w:eastAsia="微软雅黑"/>
                <w:szCs w:val="21"/>
                <w:u w:val="single"/>
              </w:rPr>
              <w:t>；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（3）相关售后质量及服务承诺。</w:t>
            </w:r>
          </w:p>
          <w:p>
            <w:pPr>
              <w:spacing w:line="500" w:lineRule="exact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（4）硬件清单明细报价需按各推荐品牌分别报价。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2.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免费维保期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3.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免费维保期后维保费率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4.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本地维护团队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5.</w:t>
            </w:r>
            <w:r>
              <w:rPr>
                <w:rFonts w:hint="eastAsia" w:ascii="微软雅黑" w:hAnsi="微软雅黑" w:eastAsia="微软雅黑"/>
                <w:szCs w:val="21"/>
              </w:rPr>
              <w:t>公司项目联系人及联系方式。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2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公司资质</w:t>
            </w: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规模实力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（1）一份可编辑的WORD版或excel版;</w:t>
            </w:r>
          </w:p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（2）代理公司需提供授权代理资质；</w:t>
            </w:r>
          </w:p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（3）贵司的营业执照、税务登记证、组织机构代码证。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2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研发团队力量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行业专注度（专业背景）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679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4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从业年限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3</w:t>
            </w:r>
          </w:p>
        </w:tc>
        <w:tc>
          <w:tcPr>
            <w:tcW w:w="1285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实施方案、实施周期</w:t>
            </w: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1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产品功能、完整性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restart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（1）一份可编辑的WORD版或excel版;</w:t>
            </w:r>
          </w:p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（2）项目实施具体方案、实施周期。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2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可用性、易用性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3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兼容性、开放性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4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对硬件、耗材要求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；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exact"/>
          <w:jc w:val="center"/>
        </w:trPr>
        <w:tc>
          <w:tcPr>
            <w:tcW w:w="6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kern w:val="0"/>
                <w:szCs w:val="21"/>
              </w:rPr>
              <w:t>5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实施周期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。</w:t>
            </w:r>
          </w:p>
        </w:tc>
        <w:tc>
          <w:tcPr>
            <w:tcW w:w="4075" w:type="dxa"/>
            <w:vMerge w:val="continue"/>
          </w:tcPr>
          <w:p>
            <w:pPr>
              <w:spacing w:line="360" w:lineRule="auto"/>
              <w:rPr>
                <w:rFonts w:ascii="微软雅黑" w:hAnsi="微软雅黑" w:eastAsia="微软雅黑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9" w:hRule="exact"/>
          <w:jc w:val="center"/>
        </w:trPr>
        <w:tc>
          <w:tcPr>
            <w:tcW w:w="679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4</w:t>
            </w:r>
          </w:p>
        </w:tc>
        <w:tc>
          <w:tcPr>
            <w:tcW w:w="1285" w:type="dxa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/>
                <w:szCs w:val="21"/>
              </w:rPr>
            </w:pPr>
            <w:r>
              <w:rPr>
                <w:rFonts w:ascii="微软雅黑" w:hAnsi="微软雅黑" w:eastAsia="微软雅黑" w:cs="宋体"/>
                <w:bCs/>
                <w:kern w:val="0"/>
                <w:szCs w:val="21"/>
              </w:rPr>
              <w:t>实施案例</w:t>
            </w:r>
          </w:p>
        </w:tc>
        <w:tc>
          <w:tcPr>
            <w:tcW w:w="3992" w:type="dxa"/>
            <w:vAlign w:val="center"/>
          </w:tcPr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1.</w:t>
            </w:r>
            <w:r>
              <w:rPr>
                <w:rFonts w:ascii="微软雅黑" w:hAnsi="微软雅黑" w:eastAsia="微软雅黑" w:cs="宋体"/>
                <w:kern w:val="0"/>
                <w:szCs w:val="21"/>
              </w:rPr>
              <w:t>成功实施项目数</w:t>
            </w: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及三家成功案例。</w:t>
            </w:r>
          </w:p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kern w:val="0"/>
                <w:szCs w:val="21"/>
              </w:rPr>
              <w:t>（非必备条件）</w:t>
            </w:r>
          </w:p>
          <w:p>
            <w:pPr>
              <w:spacing w:line="360" w:lineRule="auto"/>
              <w:rPr>
                <w:rFonts w:ascii="微软雅黑" w:hAnsi="微软雅黑" w:eastAsia="微软雅黑" w:cs="宋体"/>
                <w:kern w:val="0"/>
                <w:szCs w:val="21"/>
              </w:rPr>
            </w:pPr>
          </w:p>
        </w:tc>
        <w:tc>
          <w:tcPr>
            <w:tcW w:w="4075" w:type="dxa"/>
          </w:tcPr>
          <w:p>
            <w:pPr>
              <w:spacing w:line="360" w:lineRule="auto"/>
              <w:rPr>
                <w:rFonts w:ascii="微软雅黑" w:hAnsi="微软雅黑" w:eastAsia="微软雅黑"/>
                <w:szCs w:val="21"/>
              </w:rPr>
            </w:pPr>
            <w:r>
              <w:rPr>
                <w:rFonts w:hint="eastAsia" w:ascii="微软雅黑" w:hAnsi="微软雅黑" w:eastAsia="微软雅黑"/>
                <w:szCs w:val="21"/>
              </w:rPr>
              <w:t>提供三家合同（含项目内容清单）复印件。文件以“合作项目+合作单位+合作金额”命名。</w:t>
            </w:r>
          </w:p>
        </w:tc>
      </w:tr>
    </w:tbl>
    <w:p/>
    <w:sectPr>
      <w:pgSz w:w="11906" w:h="16838"/>
      <w:pgMar w:top="1021" w:right="1418" w:bottom="102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DengXian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left="1441"/>
      <w:jc w:val="center"/>
      <w:rPr>
        <w:caps/>
        <w:color w:val="5B9BD5"/>
      </w:rPr>
    </w:pPr>
    <w:r>
      <w:rPr>
        <w:caps/>
        <w:color w:val="5B9BD5"/>
      </w:rPr>
      <w:fldChar w:fldCharType="begin"/>
    </w:r>
    <w:r>
      <w:rPr>
        <w:caps/>
        <w:color w:val="5B9BD5"/>
      </w:rPr>
      <w:instrText xml:space="preserve">PAGE   \* MERGEFORMAT</w:instrText>
    </w:r>
    <w:r>
      <w:rPr>
        <w:caps/>
        <w:color w:val="5B9BD5"/>
      </w:rPr>
      <w:fldChar w:fldCharType="separate"/>
    </w:r>
    <w:r>
      <w:rPr>
        <w:caps/>
        <w:color w:val="5B9BD5"/>
        <w:lang w:val="zh-CN"/>
      </w:rPr>
      <w:t>1</w:t>
    </w:r>
    <w:r>
      <w:rPr>
        <w:caps/>
        <w:color w:val="5B9BD5"/>
      </w:rPr>
      <w:fldChar w:fldCharType="end"/>
    </w:r>
  </w:p>
  <w:p>
    <w:pPr>
      <w:pStyle w:val="1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9015205"/>
    <w:multiLevelType w:val="multilevel"/>
    <w:tmpl w:val="29015205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4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lvlText w:val="6.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5.1.1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5.1.1.1.%5"/>
      <w:lvlJc w:val="left"/>
      <w:pPr>
        <w:ind w:left="2142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  <w:rPr>
        <w:rFonts w:hint="eastAsia"/>
      </w:rPr>
    </w:lvl>
  </w:abstractNum>
  <w:abstractNum w:abstractNumId="1">
    <w:nsid w:val="3EBB3C91"/>
    <w:multiLevelType w:val="multilevel"/>
    <w:tmpl w:val="3EBB3C91"/>
    <w:lvl w:ilvl="0" w:tentative="0">
      <w:start w:val="1"/>
      <w:numFmt w:val="decimal"/>
      <w:pStyle w:val="56"/>
      <w:lvlText w:val="%1. "/>
      <w:lvlJc w:val="left"/>
      <w:pPr>
        <w:ind w:left="420" w:hanging="420"/>
      </w:pPr>
      <w:rPr>
        <w:rFonts w:hint="default" w:ascii="Times New Roman" w:hAnsi="Times New Roman" w:eastAsia="宋体"/>
        <w:b/>
        <w:i w:val="0"/>
      </w:rPr>
    </w:lvl>
    <w:lvl w:ilvl="1" w:tentative="0">
      <w:start w:val="1"/>
      <w:numFmt w:val="decimal"/>
      <w:pStyle w:val="49"/>
      <w:isLgl/>
      <w:suff w:val="space"/>
      <w:lvlText w:val="%1.%2 "/>
      <w:lvlJc w:val="left"/>
      <w:pPr>
        <w:ind w:left="3913" w:hanging="794"/>
      </w:pPr>
      <w:rPr>
        <w:rFonts w:hint="eastAsia"/>
      </w:rPr>
    </w:lvl>
    <w:lvl w:ilvl="2" w:tentative="0">
      <w:start w:val="1"/>
      <w:numFmt w:val="decimal"/>
      <w:pStyle w:val="55"/>
      <w:isLgl/>
      <w:suff w:val="space"/>
      <w:lvlText w:val="%1.%2.%3 "/>
      <w:lvlJc w:val="left"/>
      <w:pPr>
        <w:ind w:left="907" w:hanging="907"/>
      </w:pPr>
      <w:rPr>
        <w:rFonts w:hint="eastAsia"/>
      </w:rPr>
    </w:lvl>
    <w:lvl w:ilvl="3" w:tentative="0">
      <w:start w:val="1"/>
      <w:numFmt w:val="decimal"/>
      <w:pStyle w:val="54"/>
      <w:isLgl/>
      <w:suff w:val="space"/>
      <w:lvlText w:val="%1.%2.%3.%4 "/>
      <w:lvlJc w:val="left"/>
      <w:pPr>
        <w:ind w:left="1021" w:hanging="1021"/>
      </w:pPr>
      <w:rPr>
        <w:rFonts w:hint="eastAsia"/>
      </w:rPr>
    </w:lvl>
    <w:lvl w:ilvl="4" w:tentative="0">
      <w:start w:val="1"/>
      <w:numFmt w:val="decimal"/>
      <w:pStyle w:val="59"/>
      <w:isLgl/>
      <w:suff w:val="space"/>
      <w:lvlText w:val="%1.%2.%3.%4.%5 "/>
      <w:lvlJc w:val="left"/>
      <w:pPr>
        <w:ind w:left="1134" w:hanging="1134"/>
      </w:pPr>
      <w:rPr>
        <w:rFonts w:hint="eastAsia"/>
      </w:rPr>
    </w:lvl>
    <w:lvl w:ilvl="5" w:tentative="0">
      <w:start w:val="1"/>
      <w:numFmt w:val="decimal"/>
      <w:pStyle w:val="53"/>
      <w:isLgl/>
      <w:suff w:val="space"/>
      <w:lvlText w:val="%1.%2.%3.%4.%5.%6 "/>
      <w:lvlJc w:val="left"/>
      <w:pPr>
        <w:ind w:left="1247" w:hanging="1247"/>
      </w:pPr>
      <w:rPr>
        <w:rFonts w:hint="eastAsia"/>
      </w:rPr>
    </w:lvl>
    <w:lvl w:ilvl="6" w:tentative="0">
      <w:start w:val="1"/>
      <w:numFmt w:val="decimal"/>
      <w:lvlRestart w:val="1"/>
      <w:pStyle w:val="48"/>
      <w:isLgl/>
      <w:suff w:val="space"/>
      <w:lvlText w:val="图 %1.%7 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pStyle w:val="58"/>
      <w:isLgl/>
      <w:suff w:val="space"/>
      <w:lvlText w:val="表 %1.%8 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2">
    <w:nsid w:val="424A4138"/>
    <w:multiLevelType w:val="multilevel"/>
    <w:tmpl w:val="424A4138"/>
    <w:lvl w:ilvl="0" w:tentative="0">
      <w:start w:val="1"/>
      <w:numFmt w:val="chineseCountingThousand"/>
      <w:lvlText w:val="%1.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576" w:hanging="576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343"/>
    <w:rsid w:val="000051D2"/>
    <w:rsid w:val="000079DD"/>
    <w:rsid w:val="00012836"/>
    <w:rsid w:val="00012DCC"/>
    <w:rsid w:val="00016B63"/>
    <w:rsid w:val="0004334E"/>
    <w:rsid w:val="00046B39"/>
    <w:rsid w:val="00054706"/>
    <w:rsid w:val="00066DE7"/>
    <w:rsid w:val="00074EDD"/>
    <w:rsid w:val="00086AE0"/>
    <w:rsid w:val="00090A18"/>
    <w:rsid w:val="000B41B7"/>
    <w:rsid w:val="000D5317"/>
    <w:rsid w:val="000E276C"/>
    <w:rsid w:val="00106D68"/>
    <w:rsid w:val="001106CE"/>
    <w:rsid w:val="001107F8"/>
    <w:rsid w:val="001116F6"/>
    <w:rsid w:val="00121E40"/>
    <w:rsid w:val="0012322D"/>
    <w:rsid w:val="00123FCC"/>
    <w:rsid w:val="00132139"/>
    <w:rsid w:val="00135BF9"/>
    <w:rsid w:val="001365DD"/>
    <w:rsid w:val="00136606"/>
    <w:rsid w:val="00140E0C"/>
    <w:rsid w:val="0014437A"/>
    <w:rsid w:val="00153AB3"/>
    <w:rsid w:val="00162D29"/>
    <w:rsid w:val="00164878"/>
    <w:rsid w:val="00165091"/>
    <w:rsid w:val="00171903"/>
    <w:rsid w:val="0018200C"/>
    <w:rsid w:val="001833B6"/>
    <w:rsid w:val="00190CD2"/>
    <w:rsid w:val="001A22A1"/>
    <w:rsid w:val="001B4850"/>
    <w:rsid w:val="001B7966"/>
    <w:rsid w:val="001B7D79"/>
    <w:rsid w:val="001C23B3"/>
    <w:rsid w:val="001C7BC6"/>
    <w:rsid w:val="001D7749"/>
    <w:rsid w:val="001E3B38"/>
    <w:rsid w:val="00200054"/>
    <w:rsid w:val="002000DE"/>
    <w:rsid w:val="00202EFF"/>
    <w:rsid w:val="0020509F"/>
    <w:rsid w:val="00207A96"/>
    <w:rsid w:val="00214A6F"/>
    <w:rsid w:val="00221F1F"/>
    <w:rsid w:val="00223E47"/>
    <w:rsid w:val="00241D77"/>
    <w:rsid w:val="002509F5"/>
    <w:rsid w:val="002535AA"/>
    <w:rsid w:val="00261CBC"/>
    <w:rsid w:val="00265DE7"/>
    <w:rsid w:val="00270260"/>
    <w:rsid w:val="002722CA"/>
    <w:rsid w:val="002834D3"/>
    <w:rsid w:val="002853BF"/>
    <w:rsid w:val="00292528"/>
    <w:rsid w:val="002A01D6"/>
    <w:rsid w:val="002A4778"/>
    <w:rsid w:val="002C53D1"/>
    <w:rsid w:val="002D6BE1"/>
    <w:rsid w:val="002F31F1"/>
    <w:rsid w:val="003024F8"/>
    <w:rsid w:val="00303343"/>
    <w:rsid w:val="00303CAB"/>
    <w:rsid w:val="003042A2"/>
    <w:rsid w:val="00304636"/>
    <w:rsid w:val="00311322"/>
    <w:rsid w:val="00314A5A"/>
    <w:rsid w:val="00322973"/>
    <w:rsid w:val="003325F0"/>
    <w:rsid w:val="00341038"/>
    <w:rsid w:val="00346753"/>
    <w:rsid w:val="00347711"/>
    <w:rsid w:val="00352E7C"/>
    <w:rsid w:val="00353276"/>
    <w:rsid w:val="00366980"/>
    <w:rsid w:val="003802E2"/>
    <w:rsid w:val="00385E95"/>
    <w:rsid w:val="00385FED"/>
    <w:rsid w:val="00397B7E"/>
    <w:rsid w:val="003A7269"/>
    <w:rsid w:val="003C0FB7"/>
    <w:rsid w:val="003C6D81"/>
    <w:rsid w:val="003D0F80"/>
    <w:rsid w:val="003D2595"/>
    <w:rsid w:val="003E7083"/>
    <w:rsid w:val="003F629F"/>
    <w:rsid w:val="00403938"/>
    <w:rsid w:val="00413DA3"/>
    <w:rsid w:val="00414171"/>
    <w:rsid w:val="0041787F"/>
    <w:rsid w:val="00423450"/>
    <w:rsid w:val="0042702D"/>
    <w:rsid w:val="00431589"/>
    <w:rsid w:val="00435C81"/>
    <w:rsid w:val="00440F72"/>
    <w:rsid w:val="004565AA"/>
    <w:rsid w:val="00456A2C"/>
    <w:rsid w:val="004630DC"/>
    <w:rsid w:val="0046635F"/>
    <w:rsid w:val="00474AE0"/>
    <w:rsid w:val="0047796F"/>
    <w:rsid w:val="00482931"/>
    <w:rsid w:val="00495574"/>
    <w:rsid w:val="004A44FF"/>
    <w:rsid w:val="004B3D9D"/>
    <w:rsid w:val="004B7177"/>
    <w:rsid w:val="004C0D3D"/>
    <w:rsid w:val="004C2C5B"/>
    <w:rsid w:val="004E2D8F"/>
    <w:rsid w:val="004E5E61"/>
    <w:rsid w:val="004F04CF"/>
    <w:rsid w:val="004F1410"/>
    <w:rsid w:val="00500264"/>
    <w:rsid w:val="00510B1E"/>
    <w:rsid w:val="005120A9"/>
    <w:rsid w:val="00517D7C"/>
    <w:rsid w:val="00520646"/>
    <w:rsid w:val="0052176F"/>
    <w:rsid w:val="0052604B"/>
    <w:rsid w:val="005267D3"/>
    <w:rsid w:val="0053088D"/>
    <w:rsid w:val="00532CB0"/>
    <w:rsid w:val="00534BF6"/>
    <w:rsid w:val="005360B6"/>
    <w:rsid w:val="00537CDE"/>
    <w:rsid w:val="005409FC"/>
    <w:rsid w:val="005563D3"/>
    <w:rsid w:val="00575F76"/>
    <w:rsid w:val="005766CE"/>
    <w:rsid w:val="00580F0E"/>
    <w:rsid w:val="00591388"/>
    <w:rsid w:val="0059358B"/>
    <w:rsid w:val="005944F9"/>
    <w:rsid w:val="00596428"/>
    <w:rsid w:val="00596CC5"/>
    <w:rsid w:val="005A4D1C"/>
    <w:rsid w:val="005B046D"/>
    <w:rsid w:val="005B33AE"/>
    <w:rsid w:val="005C49D7"/>
    <w:rsid w:val="005C60FB"/>
    <w:rsid w:val="005C7EF5"/>
    <w:rsid w:val="005D1C7F"/>
    <w:rsid w:val="005D2402"/>
    <w:rsid w:val="005D2BF6"/>
    <w:rsid w:val="005E7C53"/>
    <w:rsid w:val="005F0356"/>
    <w:rsid w:val="005F73BC"/>
    <w:rsid w:val="00600923"/>
    <w:rsid w:val="006053FC"/>
    <w:rsid w:val="00612F3F"/>
    <w:rsid w:val="00623637"/>
    <w:rsid w:val="006279C6"/>
    <w:rsid w:val="00644F1D"/>
    <w:rsid w:val="00646B59"/>
    <w:rsid w:val="006604C2"/>
    <w:rsid w:val="006861F5"/>
    <w:rsid w:val="00697FBB"/>
    <w:rsid w:val="006B2085"/>
    <w:rsid w:val="006B21B8"/>
    <w:rsid w:val="006B7B58"/>
    <w:rsid w:val="006C36EB"/>
    <w:rsid w:val="006D4B15"/>
    <w:rsid w:val="006D59F7"/>
    <w:rsid w:val="006E5E07"/>
    <w:rsid w:val="006F0434"/>
    <w:rsid w:val="00701D12"/>
    <w:rsid w:val="0070239F"/>
    <w:rsid w:val="007066BE"/>
    <w:rsid w:val="0072309C"/>
    <w:rsid w:val="0072467A"/>
    <w:rsid w:val="0072695B"/>
    <w:rsid w:val="0074224C"/>
    <w:rsid w:val="00750A70"/>
    <w:rsid w:val="00752912"/>
    <w:rsid w:val="007556BE"/>
    <w:rsid w:val="007621CC"/>
    <w:rsid w:val="0076668A"/>
    <w:rsid w:val="00770BCA"/>
    <w:rsid w:val="00784C08"/>
    <w:rsid w:val="00785EDF"/>
    <w:rsid w:val="00786A29"/>
    <w:rsid w:val="00795F59"/>
    <w:rsid w:val="007C0A5B"/>
    <w:rsid w:val="007D22AB"/>
    <w:rsid w:val="007E71E6"/>
    <w:rsid w:val="007F5726"/>
    <w:rsid w:val="008168FB"/>
    <w:rsid w:val="00822BA6"/>
    <w:rsid w:val="008419E9"/>
    <w:rsid w:val="008548FB"/>
    <w:rsid w:val="008623FD"/>
    <w:rsid w:val="00866774"/>
    <w:rsid w:val="00873B97"/>
    <w:rsid w:val="008902B0"/>
    <w:rsid w:val="008A62AC"/>
    <w:rsid w:val="008A63D9"/>
    <w:rsid w:val="008B2206"/>
    <w:rsid w:val="008C255D"/>
    <w:rsid w:val="008D3291"/>
    <w:rsid w:val="008D59AA"/>
    <w:rsid w:val="008E145D"/>
    <w:rsid w:val="008E2B56"/>
    <w:rsid w:val="00900232"/>
    <w:rsid w:val="00900BAA"/>
    <w:rsid w:val="00903734"/>
    <w:rsid w:val="00903878"/>
    <w:rsid w:val="00903CF6"/>
    <w:rsid w:val="009052C7"/>
    <w:rsid w:val="00905FFA"/>
    <w:rsid w:val="0092017A"/>
    <w:rsid w:val="00922032"/>
    <w:rsid w:val="00925C23"/>
    <w:rsid w:val="00927E08"/>
    <w:rsid w:val="009303FA"/>
    <w:rsid w:val="00930E38"/>
    <w:rsid w:val="00943004"/>
    <w:rsid w:val="00965E9B"/>
    <w:rsid w:val="00966A88"/>
    <w:rsid w:val="00973A47"/>
    <w:rsid w:val="00981ED8"/>
    <w:rsid w:val="00982AA3"/>
    <w:rsid w:val="009863EF"/>
    <w:rsid w:val="00986A41"/>
    <w:rsid w:val="0098719A"/>
    <w:rsid w:val="00991FF2"/>
    <w:rsid w:val="0099315B"/>
    <w:rsid w:val="00995DD9"/>
    <w:rsid w:val="009C1F02"/>
    <w:rsid w:val="009C3783"/>
    <w:rsid w:val="009C4074"/>
    <w:rsid w:val="009C4E7E"/>
    <w:rsid w:val="009D6951"/>
    <w:rsid w:val="009D7DD1"/>
    <w:rsid w:val="009E0351"/>
    <w:rsid w:val="009E214B"/>
    <w:rsid w:val="009E53AF"/>
    <w:rsid w:val="009F0270"/>
    <w:rsid w:val="009F61FA"/>
    <w:rsid w:val="00A05796"/>
    <w:rsid w:val="00A1259A"/>
    <w:rsid w:val="00A13CB0"/>
    <w:rsid w:val="00A14FD8"/>
    <w:rsid w:val="00A22CA1"/>
    <w:rsid w:val="00A26BBF"/>
    <w:rsid w:val="00A4595D"/>
    <w:rsid w:val="00A51146"/>
    <w:rsid w:val="00A61D3A"/>
    <w:rsid w:val="00A66833"/>
    <w:rsid w:val="00A70DCF"/>
    <w:rsid w:val="00A72437"/>
    <w:rsid w:val="00A73FDF"/>
    <w:rsid w:val="00A870DD"/>
    <w:rsid w:val="00A96157"/>
    <w:rsid w:val="00A969AF"/>
    <w:rsid w:val="00A9729E"/>
    <w:rsid w:val="00AA1F69"/>
    <w:rsid w:val="00AB348F"/>
    <w:rsid w:val="00AB7D36"/>
    <w:rsid w:val="00AC1390"/>
    <w:rsid w:val="00AC4663"/>
    <w:rsid w:val="00AC49E4"/>
    <w:rsid w:val="00AE1DD2"/>
    <w:rsid w:val="00AE3462"/>
    <w:rsid w:val="00AE4106"/>
    <w:rsid w:val="00B12138"/>
    <w:rsid w:val="00B13BBE"/>
    <w:rsid w:val="00B17749"/>
    <w:rsid w:val="00B17AE9"/>
    <w:rsid w:val="00B17C05"/>
    <w:rsid w:val="00B20334"/>
    <w:rsid w:val="00B20819"/>
    <w:rsid w:val="00B225B9"/>
    <w:rsid w:val="00B24AB1"/>
    <w:rsid w:val="00B36BD9"/>
    <w:rsid w:val="00B41A4C"/>
    <w:rsid w:val="00B43095"/>
    <w:rsid w:val="00B446CA"/>
    <w:rsid w:val="00B5093C"/>
    <w:rsid w:val="00B54356"/>
    <w:rsid w:val="00B55FE5"/>
    <w:rsid w:val="00B62917"/>
    <w:rsid w:val="00B74609"/>
    <w:rsid w:val="00B752B2"/>
    <w:rsid w:val="00B80E39"/>
    <w:rsid w:val="00B824A5"/>
    <w:rsid w:val="00B8588F"/>
    <w:rsid w:val="00B858F1"/>
    <w:rsid w:val="00B8684C"/>
    <w:rsid w:val="00BA5A2D"/>
    <w:rsid w:val="00BA5B8F"/>
    <w:rsid w:val="00BB2B54"/>
    <w:rsid w:val="00BC3CA1"/>
    <w:rsid w:val="00BC49E5"/>
    <w:rsid w:val="00BD3194"/>
    <w:rsid w:val="00BD5FA8"/>
    <w:rsid w:val="00BE23E5"/>
    <w:rsid w:val="00BE31E6"/>
    <w:rsid w:val="00BF757E"/>
    <w:rsid w:val="00BF7C0E"/>
    <w:rsid w:val="00BF7F5A"/>
    <w:rsid w:val="00C17719"/>
    <w:rsid w:val="00C2470A"/>
    <w:rsid w:val="00C335D8"/>
    <w:rsid w:val="00C50E12"/>
    <w:rsid w:val="00C54491"/>
    <w:rsid w:val="00C71B43"/>
    <w:rsid w:val="00C74D8F"/>
    <w:rsid w:val="00C751A9"/>
    <w:rsid w:val="00C766DD"/>
    <w:rsid w:val="00C76BDF"/>
    <w:rsid w:val="00C775CE"/>
    <w:rsid w:val="00C8030E"/>
    <w:rsid w:val="00C91697"/>
    <w:rsid w:val="00C92EAA"/>
    <w:rsid w:val="00CA148F"/>
    <w:rsid w:val="00CA29F9"/>
    <w:rsid w:val="00CB6B73"/>
    <w:rsid w:val="00CB732A"/>
    <w:rsid w:val="00CC218D"/>
    <w:rsid w:val="00CC6334"/>
    <w:rsid w:val="00CC677A"/>
    <w:rsid w:val="00CD008E"/>
    <w:rsid w:val="00CD6EDC"/>
    <w:rsid w:val="00CE2D1F"/>
    <w:rsid w:val="00CF1561"/>
    <w:rsid w:val="00CF1A40"/>
    <w:rsid w:val="00CF36EF"/>
    <w:rsid w:val="00CF4AE2"/>
    <w:rsid w:val="00D1110F"/>
    <w:rsid w:val="00D121E7"/>
    <w:rsid w:val="00D15B10"/>
    <w:rsid w:val="00D23E20"/>
    <w:rsid w:val="00D32842"/>
    <w:rsid w:val="00D454AB"/>
    <w:rsid w:val="00D536AB"/>
    <w:rsid w:val="00D54E0C"/>
    <w:rsid w:val="00D5537A"/>
    <w:rsid w:val="00D563D1"/>
    <w:rsid w:val="00D6452F"/>
    <w:rsid w:val="00D71136"/>
    <w:rsid w:val="00D77F36"/>
    <w:rsid w:val="00D9057D"/>
    <w:rsid w:val="00DA026E"/>
    <w:rsid w:val="00DA576E"/>
    <w:rsid w:val="00DB0A86"/>
    <w:rsid w:val="00DB57B7"/>
    <w:rsid w:val="00DC33CF"/>
    <w:rsid w:val="00DC3415"/>
    <w:rsid w:val="00DC4BE7"/>
    <w:rsid w:val="00DD3DE6"/>
    <w:rsid w:val="00DE4534"/>
    <w:rsid w:val="00DF3D3A"/>
    <w:rsid w:val="00DF4228"/>
    <w:rsid w:val="00E06670"/>
    <w:rsid w:val="00E47752"/>
    <w:rsid w:val="00E53030"/>
    <w:rsid w:val="00E56652"/>
    <w:rsid w:val="00E62C9E"/>
    <w:rsid w:val="00E63369"/>
    <w:rsid w:val="00E63569"/>
    <w:rsid w:val="00E80756"/>
    <w:rsid w:val="00E81F96"/>
    <w:rsid w:val="00E8302B"/>
    <w:rsid w:val="00E83E34"/>
    <w:rsid w:val="00E84F8C"/>
    <w:rsid w:val="00E85360"/>
    <w:rsid w:val="00E85641"/>
    <w:rsid w:val="00E85DA4"/>
    <w:rsid w:val="00E86B42"/>
    <w:rsid w:val="00E95892"/>
    <w:rsid w:val="00E97354"/>
    <w:rsid w:val="00EA6408"/>
    <w:rsid w:val="00EC0483"/>
    <w:rsid w:val="00ED0897"/>
    <w:rsid w:val="00ED73FF"/>
    <w:rsid w:val="00ED7F01"/>
    <w:rsid w:val="00EE51DE"/>
    <w:rsid w:val="00EE551A"/>
    <w:rsid w:val="00EF5E01"/>
    <w:rsid w:val="00EF6EC0"/>
    <w:rsid w:val="00F02058"/>
    <w:rsid w:val="00F0343C"/>
    <w:rsid w:val="00F04CE5"/>
    <w:rsid w:val="00F13514"/>
    <w:rsid w:val="00F1360F"/>
    <w:rsid w:val="00F16AA8"/>
    <w:rsid w:val="00F3226A"/>
    <w:rsid w:val="00F33265"/>
    <w:rsid w:val="00F33DB0"/>
    <w:rsid w:val="00F45DB8"/>
    <w:rsid w:val="00F54D29"/>
    <w:rsid w:val="00F62BCD"/>
    <w:rsid w:val="00F74B77"/>
    <w:rsid w:val="00F764FE"/>
    <w:rsid w:val="00F827B6"/>
    <w:rsid w:val="00F92BE5"/>
    <w:rsid w:val="00FA0574"/>
    <w:rsid w:val="00FB68D3"/>
    <w:rsid w:val="00FC4B75"/>
    <w:rsid w:val="00FE7554"/>
    <w:rsid w:val="00FF17FE"/>
    <w:rsid w:val="1155187B"/>
    <w:rsid w:val="12121AE4"/>
    <w:rsid w:val="42200080"/>
    <w:rsid w:val="488C513A"/>
    <w:rsid w:val="4A9F1770"/>
    <w:rsid w:val="60766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qFormat="1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spacing w:before="260" w:after="260" w:line="416" w:lineRule="auto"/>
      <w:outlineLvl w:val="1"/>
    </w:pPr>
    <w:rPr>
      <w:rFonts w:ascii="等线 Light" w:hAnsi="等线 Light" w:eastAsia="等线 Light"/>
      <w:b/>
      <w:bCs/>
      <w:sz w:val="32"/>
      <w:szCs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0"/>
      <w:szCs w:val="30"/>
    </w:rPr>
  </w:style>
  <w:style w:type="paragraph" w:styleId="5">
    <w:name w:val="heading 4"/>
    <w:basedOn w:val="1"/>
    <w:next w:val="1"/>
    <w:link w:val="27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宋体" w:hAnsi="宋体"/>
      <w:b/>
      <w:bCs/>
      <w:sz w:val="28"/>
      <w:szCs w:val="28"/>
    </w:rPr>
  </w:style>
  <w:style w:type="paragraph" w:styleId="6">
    <w:name w:val="heading 5"/>
    <w:basedOn w:val="1"/>
    <w:next w:val="1"/>
    <w:link w:val="28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29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等线 Light" w:hAnsi="等线 Light" w:eastAsia="等线 Light"/>
      <w:b/>
      <w:bCs/>
      <w:sz w:val="24"/>
    </w:rPr>
  </w:style>
  <w:style w:type="paragraph" w:styleId="8">
    <w:name w:val="heading 7"/>
    <w:basedOn w:val="1"/>
    <w:next w:val="1"/>
    <w:link w:val="30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1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等线 Light" w:hAnsi="等线 Light" w:eastAsia="等线 Light"/>
      <w:sz w:val="24"/>
    </w:rPr>
  </w:style>
  <w:style w:type="paragraph" w:styleId="10">
    <w:name w:val="heading 9"/>
    <w:basedOn w:val="1"/>
    <w:next w:val="1"/>
    <w:link w:val="32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等线 Light" w:hAnsi="等线 Light" w:eastAsia="等线 Light"/>
      <w:szCs w:val="21"/>
    </w:rPr>
  </w:style>
  <w:style w:type="character" w:default="1" w:styleId="20">
    <w:name w:val="Default Paragraph Font"/>
    <w:semiHidden/>
    <w:unhideWhenUsed/>
    <w:qFormat/>
    <w:uiPriority w:val="1"/>
  </w:style>
  <w:style w:type="table" w:default="1" w:styleId="1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Normal Indent"/>
    <w:basedOn w:val="1"/>
    <w:link w:val="33"/>
    <w:qFormat/>
    <w:uiPriority w:val="99"/>
    <w:pPr>
      <w:spacing w:before="120" w:beforeLines="50" w:line="360" w:lineRule="auto"/>
      <w:ind w:firstLine="512" w:firstLineChars="200"/>
    </w:pPr>
    <w:rPr>
      <w:spacing w:val="8"/>
      <w:sz w:val="24"/>
      <w:szCs w:val="20"/>
    </w:rPr>
  </w:style>
  <w:style w:type="paragraph" w:styleId="12">
    <w:name w:val="annotation text"/>
    <w:basedOn w:val="1"/>
    <w:link w:val="34"/>
    <w:unhideWhenUsed/>
    <w:qFormat/>
    <w:uiPriority w:val="0"/>
    <w:pPr>
      <w:jc w:val="left"/>
    </w:pPr>
    <w:rPr>
      <w:kern w:val="0"/>
      <w:sz w:val="20"/>
    </w:rPr>
  </w:style>
  <w:style w:type="paragraph" w:styleId="13">
    <w:name w:val="Plain Text"/>
    <w:basedOn w:val="1"/>
    <w:link w:val="35"/>
    <w:qFormat/>
    <w:uiPriority w:val="0"/>
    <w:rPr>
      <w:rFonts w:ascii="Calibri" w:hAnsi="Courier New"/>
      <w:szCs w:val="20"/>
    </w:rPr>
  </w:style>
  <w:style w:type="paragraph" w:styleId="14">
    <w:name w:val="Balloon Text"/>
    <w:basedOn w:val="1"/>
    <w:link w:val="36"/>
    <w:qFormat/>
    <w:uiPriority w:val="0"/>
    <w:rPr>
      <w:sz w:val="18"/>
      <w:szCs w:val="18"/>
    </w:rPr>
  </w:style>
  <w:style w:type="paragraph" w:styleId="15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3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9">
    <w:name w:val="Table Grid"/>
    <w:basedOn w:val="18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21">
    <w:name w:val="FollowedHyperlink"/>
    <w:qFormat/>
    <w:uiPriority w:val="0"/>
    <w:rPr>
      <w:color w:val="800080"/>
      <w:u w:val="single"/>
    </w:rPr>
  </w:style>
  <w:style w:type="character" w:styleId="22">
    <w:name w:val="Hyperlink"/>
    <w:qFormat/>
    <w:uiPriority w:val="0"/>
    <w:rPr>
      <w:color w:val="0563C1"/>
      <w:u w:val="single"/>
    </w:rPr>
  </w:style>
  <w:style w:type="character" w:styleId="23">
    <w:name w:val="annotation reference"/>
    <w:unhideWhenUsed/>
    <w:qFormat/>
    <w:uiPriority w:val="99"/>
    <w:rPr>
      <w:sz w:val="21"/>
      <w:szCs w:val="21"/>
    </w:rPr>
  </w:style>
  <w:style w:type="character" w:customStyle="1" w:styleId="24">
    <w:name w:val="标题 1 字符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5">
    <w:name w:val="标题 2 字符"/>
    <w:link w:val="3"/>
    <w:qFormat/>
    <w:uiPriority w:val="0"/>
    <w:rPr>
      <w:rFonts w:ascii="等线 Light" w:hAnsi="等线 Light" w:eastAsia="等线 Light" w:cs="Times New Roman"/>
      <w:b/>
      <w:bCs/>
      <w:kern w:val="2"/>
      <w:sz w:val="32"/>
      <w:szCs w:val="32"/>
    </w:rPr>
  </w:style>
  <w:style w:type="character" w:customStyle="1" w:styleId="26">
    <w:name w:val="标题 3 字符"/>
    <w:link w:val="4"/>
    <w:qFormat/>
    <w:uiPriority w:val="0"/>
    <w:rPr>
      <w:b/>
      <w:bCs/>
      <w:kern w:val="2"/>
      <w:sz w:val="30"/>
      <w:szCs w:val="30"/>
    </w:rPr>
  </w:style>
  <w:style w:type="character" w:customStyle="1" w:styleId="27">
    <w:name w:val="标题 4 字符"/>
    <w:link w:val="5"/>
    <w:qFormat/>
    <w:uiPriority w:val="0"/>
    <w:rPr>
      <w:rFonts w:ascii="宋体" w:hAnsi="宋体"/>
      <w:b/>
      <w:bCs/>
      <w:kern w:val="2"/>
      <w:sz w:val="28"/>
      <w:szCs w:val="28"/>
    </w:rPr>
  </w:style>
  <w:style w:type="character" w:customStyle="1" w:styleId="28">
    <w:name w:val="标题 5 字符"/>
    <w:link w:val="6"/>
    <w:qFormat/>
    <w:uiPriority w:val="0"/>
    <w:rPr>
      <w:b/>
      <w:bCs/>
      <w:kern w:val="2"/>
      <w:sz w:val="28"/>
      <w:szCs w:val="28"/>
    </w:rPr>
  </w:style>
  <w:style w:type="character" w:customStyle="1" w:styleId="29">
    <w:name w:val="标题 6 字符"/>
    <w:link w:val="7"/>
    <w:semiHidden/>
    <w:qFormat/>
    <w:uiPriority w:val="0"/>
    <w:rPr>
      <w:rFonts w:ascii="等线 Light" w:hAnsi="等线 Light" w:eastAsia="等线 Light"/>
      <w:b/>
      <w:bCs/>
      <w:kern w:val="2"/>
      <w:sz w:val="24"/>
      <w:szCs w:val="24"/>
    </w:rPr>
  </w:style>
  <w:style w:type="character" w:customStyle="1" w:styleId="30">
    <w:name w:val="标题 7 字符"/>
    <w:link w:val="8"/>
    <w:semiHidden/>
    <w:uiPriority w:val="0"/>
    <w:rPr>
      <w:b/>
      <w:bCs/>
      <w:kern w:val="2"/>
      <w:sz w:val="24"/>
      <w:szCs w:val="24"/>
    </w:rPr>
  </w:style>
  <w:style w:type="character" w:customStyle="1" w:styleId="31">
    <w:name w:val="标题 8 字符"/>
    <w:link w:val="9"/>
    <w:semiHidden/>
    <w:qFormat/>
    <w:uiPriority w:val="0"/>
    <w:rPr>
      <w:rFonts w:ascii="等线 Light" w:hAnsi="等线 Light" w:eastAsia="等线 Light"/>
      <w:kern w:val="2"/>
      <w:sz w:val="24"/>
      <w:szCs w:val="24"/>
    </w:rPr>
  </w:style>
  <w:style w:type="character" w:customStyle="1" w:styleId="32">
    <w:name w:val="标题 9 字符"/>
    <w:link w:val="10"/>
    <w:semiHidden/>
    <w:uiPriority w:val="0"/>
    <w:rPr>
      <w:rFonts w:ascii="等线 Light" w:hAnsi="等线 Light" w:eastAsia="等线 Light"/>
      <w:kern w:val="2"/>
      <w:sz w:val="21"/>
      <w:szCs w:val="21"/>
    </w:rPr>
  </w:style>
  <w:style w:type="character" w:customStyle="1" w:styleId="33">
    <w:name w:val="正文缩进 字符"/>
    <w:link w:val="11"/>
    <w:qFormat/>
    <w:uiPriority w:val="99"/>
    <w:rPr>
      <w:spacing w:val="8"/>
      <w:kern w:val="2"/>
      <w:sz w:val="24"/>
    </w:rPr>
  </w:style>
  <w:style w:type="character" w:customStyle="1" w:styleId="34">
    <w:name w:val="批注文字 字符1"/>
    <w:link w:val="12"/>
    <w:uiPriority w:val="0"/>
    <w:rPr>
      <w:szCs w:val="24"/>
    </w:rPr>
  </w:style>
  <w:style w:type="character" w:customStyle="1" w:styleId="35">
    <w:name w:val="纯文本 字符"/>
    <w:link w:val="13"/>
    <w:uiPriority w:val="0"/>
    <w:rPr>
      <w:rFonts w:ascii="Calibri" w:hAnsi="Courier New"/>
      <w:kern w:val="2"/>
      <w:sz w:val="21"/>
    </w:rPr>
  </w:style>
  <w:style w:type="character" w:customStyle="1" w:styleId="36">
    <w:name w:val="批注框文本 字符"/>
    <w:link w:val="14"/>
    <w:qFormat/>
    <w:uiPriority w:val="0"/>
    <w:rPr>
      <w:kern w:val="2"/>
      <w:sz w:val="18"/>
      <w:szCs w:val="18"/>
    </w:rPr>
  </w:style>
  <w:style w:type="character" w:customStyle="1" w:styleId="37">
    <w:name w:val="页脚 字符1"/>
    <w:link w:val="15"/>
    <w:qFormat/>
    <w:uiPriority w:val="0"/>
    <w:rPr>
      <w:kern w:val="2"/>
      <w:sz w:val="18"/>
      <w:szCs w:val="18"/>
    </w:rPr>
  </w:style>
  <w:style w:type="character" w:customStyle="1" w:styleId="38">
    <w:name w:val="页眉 字符"/>
    <w:link w:val="16"/>
    <w:uiPriority w:val="0"/>
    <w:rPr>
      <w:kern w:val="2"/>
      <w:sz w:val="18"/>
      <w:szCs w:val="18"/>
    </w:rPr>
  </w:style>
  <w:style w:type="character" w:customStyle="1" w:styleId="39">
    <w:name w:val="正文（首行缩进2字符） Char"/>
    <w:link w:val="40"/>
    <w:qFormat/>
    <w:uiPriority w:val="0"/>
    <w:rPr>
      <w:kern w:val="2"/>
      <w:sz w:val="24"/>
      <w:szCs w:val="24"/>
    </w:rPr>
  </w:style>
  <w:style w:type="paragraph" w:customStyle="1" w:styleId="40">
    <w:name w:val="正文（首行缩进2字符）"/>
    <w:basedOn w:val="1"/>
    <w:link w:val="39"/>
    <w:qFormat/>
    <w:uiPriority w:val="0"/>
    <w:pPr>
      <w:spacing w:line="360" w:lineRule="auto"/>
      <w:ind w:firstLine="480" w:firstLineChars="200"/>
    </w:pPr>
    <w:rPr>
      <w:sz w:val="24"/>
    </w:rPr>
  </w:style>
  <w:style w:type="character" w:customStyle="1" w:styleId="41">
    <w:name w:val="段落 Char1"/>
    <w:link w:val="42"/>
    <w:uiPriority w:val="0"/>
    <w:rPr>
      <w:rFonts w:eastAsia="仿宋_GB2312"/>
      <w:sz w:val="24"/>
      <w:szCs w:val="24"/>
      <w:lang w:val="en-US" w:eastAsia="zh-CN" w:bidi="ar-SA"/>
    </w:rPr>
  </w:style>
  <w:style w:type="paragraph" w:customStyle="1" w:styleId="42">
    <w:name w:val="段落"/>
    <w:link w:val="41"/>
    <w:qFormat/>
    <w:uiPriority w:val="0"/>
    <w:pPr>
      <w:adjustRightInd w:val="0"/>
      <w:snapToGrid w:val="0"/>
      <w:spacing w:before="120" w:after="120" w:line="360" w:lineRule="auto"/>
      <w:ind w:firstLine="480" w:firstLineChars="200"/>
      <w:jc w:val="both"/>
    </w:pPr>
    <w:rPr>
      <w:rFonts w:ascii="Times New Roman" w:hAnsi="Times New Roman" w:eastAsia="仿宋_GB2312" w:cs="Times New Roman"/>
      <w:sz w:val="24"/>
      <w:szCs w:val="24"/>
      <w:lang w:val="en-US" w:eastAsia="zh-CN" w:bidi="ar-SA"/>
    </w:rPr>
  </w:style>
  <w:style w:type="character" w:customStyle="1" w:styleId="43">
    <w:name w:val="正文（安华金和） Char"/>
    <w:link w:val="44"/>
    <w:qFormat/>
    <w:uiPriority w:val="0"/>
    <w:rPr>
      <w:rFonts w:ascii="Arial" w:hAnsi="Arial"/>
      <w:sz w:val="21"/>
      <w:szCs w:val="21"/>
      <w:lang w:val="en-US" w:eastAsia="zh-CN" w:bidi="ar-SA"/>
    </w:rPr>
  </w:style>
  <w:style w:type="paragraph" w:customStyle="1" w:styleId="44">
    <w:name w:val="正文（安华金和）"/>
    <w:link w:val="43"/>
    <w:qFormat/>
    <w:uiPriority w:val="0"/>
    <w:pPr>
      <w:widowControl w:val="0"/>
      <w:spacing w:line="360" w:lineRule="auto"/>
      <w:ind w:firstLine="200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character" w:customStyle="1" w:styleId="45">
    <w:name w:val="页脚 字符"/>
    <w:qFormat/>
    <w:uiPriority w:val="99"/>
  </w:style>
  <w:style w:type="character" w:customStyle="1" w:styleId="46">
    <w:name w:val="列表段落 字符"/>
    <w:link w:val="47"/>
    <w:qFormat/>
    <w:uiPriority w:val="34"/>
    <w:rPr>
      <w:rFonts w:ascii="DengXian" w:hAnsi="DengXian" w:eastAsia="DengXian"/>
      <w:kern w:val="2"/>
      <w:sz w:val="21"/>
      <w:szCs w:val="22"/>
    </w:rPr>
  </w:style>
  <w:style w:type="paragraph" w:styleId="47">
    <w:name w:val="List Paragraph"/>
    <w:basedOn w:val="1"/>
    <w:link w:val="46"/>
    <w:qFormat/>
    <w:uiPriority w:val="34"/>
    <w:pPr>
      <w:ind w:firstLine="420" w:firstLineChars="200"/>
    </w:pPr>
    <w:rPr>
      <w:rFonts w:ascii="DengXian" w:hAnsi="DengXian" w:eastAsia="DengXian"/>
      <w:szCs w:val="22"/>
    </w:rPr>
  </w:style>
  <w:style w:type="paragraph" w:customStyle="1" w:styleId="48">
    <w:name w:val="插图标注（安华金和）"/>
    <w:next w:val="1"/>
    <w:qFormat/>
    <w:uiPriority w:val="0"/>
    <w:pPr>
      <w:numPr>
        <w:ilvl w:val="6"/>
        <w:numId w:val="2"/>
      </w:numPr>
      <w:spacing w:after="156"/>
      <w:jc w:val="center"/>
    </w:pPr>
    <w:rPr>
      <w:rFonts w:ascii="Arial" w:hAnsi="Arial" w:eastAsia="宋体" w:cs="Arial"/>
      <w:sz w:val="21"/>
      <w:szCs w:val="21"/>
      <w:lang w:val="en-US" w:eastAsia="zh-CN" w:bidi="ar-SA"/>
    </w:rPr>
  </w:style>
  <w:style w:type="paragraph" w:customStyle="1" w:styleId="49">
    <w:name w:val="标题 2（DBSec）"/>
    <w:basedOn w:val="3"/>
    <w:next w:val="1"/>
    <w:qFormat/>
    <w:uiPriority w:val="0"/>
    <w:pPr>
      <w:numPr>
        <w:ilvl w:val="1"/>
        <w:numId w:val="2"/>
      </w:numPr>
      <w:spacing w:line="415" w:lineRule="auto"/>
      <w:ind w:left="794" w:leftChars="200"/>
      <w:jc w:val="left"/>
    </w:pPr>
    <w:rPr>
      <w:rFonts w:ascii="Arial" w:hAnsi="Arial" w:eastAsia="黑体"/>
      <w:bCs w:val="0"/>
    </w:rPr>
  </w:style>
  <w:style w:type="paragraph" w:customStyle="1" w:styleId="5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微软雅黑" w:hAnsi="Times New Roman" w:eastAsia="微软雅黑" w:cs="微软雅黑"/>
      <w:color w:val="000000"/>
      <w:sz w:val="24"/>
      <w:szCs w:val="24"/>
      <w:lang w:val="en-US" w:eastAsia="zh-CN" w:bidi="ar-SA"/>
    </w:rPr>
  </w:style>
  <w:style w:type="paragraph" w:customStyle="1" w:styleId="51">
    <w:name w:val="_Style 27"/>
    <w:basedOn w:val="1"/>
    <w:next w:val="47"/>
    <w:qFormat/>
    <w:uiPriority w:val="34"/>
    <w:pPr>
      <w:widowControl/>
      <w:spacing w:line="240" w:lineRule="atLeast"/>
      <w:ind w:firstLine="420" w:firstLineChars="200"/>
    </w:pPr>
    <w:rPr>
      <w:rFonts w:ascii="Arial" w:hAnsi="Arial"/>
      <w:kern w:val="0"/>
      <w:szCs w:val="21"/>
    </w:rPr>
  </w:style>
  <w:style w:type="paragraph" w:customStyle="1" w:styleId="52">
    <w:name w:val="列出段落2"/>
    <w:basedOn w:val="1"/>
    <w:qFormat/>
    <w:uiPriority w:val="99"/>
    <w:pPr>
      <w:widowControl/>
      <w:spacing w:line="240" w:lineRule="atLeast"/>
      <w:ind w:firstLine="420" w:firstLineChars="200"/>
    </w:pPr>
    <w:rPr>
      <w:rFonts w:ascii="Arial" w:hAnsi="Arial"/>
      <w:kern w:val="0"/>
      <w:szCs w:val="21"/>
    </w:rPr>
  </w:style>
  <w:style w:type="paragraph" w:customStyle="1" w:styleId="53">
    <w:name w:val="标题 6（有编号）（安华金和）"/>
    <w:basedOn w:val="1"/>
    <w:next w:val="1"/>
    <w:qFormat/>
    <w:uiPriority w:val="0"/>
    <w:pPr>
      <w:keepNext/>
      <w:keepLines/>
      <w:numPr>
        <w:ilvl w:val="5"/>
        <w:numId w:val="2"/>
      </w:numPr>
      <w:spacing w:before="240" w:after="64" w:line="319" w:lineRule="auto"/>
      <w:ind w:left="0"/>
      <w:jc w:val="left"/>
      <w:outlineLvl w:val="5"/>
    </w:pPr>
    <w:rPr>
      <w:rFonts w:ascii="Arial" w:hAnsi="Arial" w:eastAsia="黑体"/>
      <w:b/>
      <w:kern w:val="0"/>
    </w:rPr>
  </w:style>
  <w:style w:type="paragraph" w:customStyle="1" w:styleId="54">
    <w:name w:val="标题 4（DBSec）"/>
    <w:basedOn w:val="5"/>
    <w:next w:val="1"/>
    <w:qFormat/>
    <w:uiPriority w:val="0"/>
    <w:pPr>
      <w:widowControl/>
      <w:numPr>
        <w:numId w:val="2"/>
      </w:numPr>
      <w:spacing w:after="156"/>
      <w:ind w:left="200" w:leftChars="200"/>
      <w:jc w:val="left"/>
    </w:pPr>
    <w:rPr>
      <w:rFonts w:ascii="Arial" w:hAnsi="Arial" w:eastAsia="黑体"/>
      <w:bCs w:val="0"/>
      <w:kern w:val="0"/>
    </w:rPr>
  </w:style>
  <w:style w:type="paragraph" w:customStyle="1" w:styleId="55">
    <w:name w:val="标题 3（DBSec）"/>
    <w:basedOn w:val="4"/>
    <w:next w:val="1"/>
    <w:qFormat/>
    <w:uiPriority w:val="0"/>
    <w:pPr>
      <w:numPr>
        <w:ilvl w:val="2"/>
        <w:numId w:val="2"/>
      </w:numPr>
      <w:tabs>
        <w:tab w:val="left" w:pos="960"/>
      </w:tabs>
      <w:spacing w:line="415" w:lineRule="auto"/>
      <w:ind w:left="200" w:leftChars="200"/>
      <w:jc w:val="left"/>
    </w:pPr>
    <w:rPr>
      <w:rFonts w:ascii="Arial" w:hAnsi="Arial" w:eastAsia="黑体"/>
      <w:bCs w:val="0"/>
      <w:kern w:val="0"/>
    </w:rPr>
  </w:style>
  <w:style w:type="paragraph" w:customStyle="1" w:styleId="56">
    <w:name w:val="标题 1（DBSec）"/>
    <w:basedOn w:val="2"/>
    <w:next w:val="1"/>
    <w:qFormat/>
    <w:uiPriority w:val="0"/>
    <w:pPr>
      <w:pageBreakBefore/>
      <w:numPr>
        <w:numId w:val="2"/>
      </w:numPr>
      <w:pBdr>
        <w:bottom w:val="single" w:color="auto" w:sz="48" w:space="1"/>
      </w:pBdr>
      <w:spacing w:before="600" w:line="576" w:lineRule="auto"/>
      <w:ind w:left="200" w:leftChars="200"/>
      <w:jc w:val="left"/>
    </w:pPr>
    <w:rPr>
      <w:rFonts w:ascii="Arial" w:hAnsi="Arial" w:eastAsia="黑体"/>
    </w:rPr>
  </w:style>
  <w:style w:type="paragraph" w:customStyle="1" w:styleId="57">
    <w:name w:val="彩色列表 - 着色 11"/>
    <w:basedOn w:val="1"/>
    <w:qFormat/>
    <w:uiPriority w:val="34"/>
    <w:pPr>
      <w:spacing w:line="360" w:lineRule="auto"/>
      <w:ind w:firstLine="420" w:firstLineChars="200"/>
    </w:pPr>
    <w:rPr>
      <w:rFonts w:ascii="Arial" w:hAnsi="Arial"/>
      <w:szCs w:val="21"/>
    </w:rPr>
  </w:style>
  <w:style w:type="paragraph" w:customStyle="1" w:styleId="58">
    <w:name w:val="表格标注（安华金和）"/>
    <w:basedOn w:val="48"/>
    <w:next w:val="1"/>
    <w:qFormat/>
    <w:uiPriority w:val="0"/>
    <w:pPr>
      <w:numPr>
        <w:ilvl w:val="7"/>
      </w:numPr>
    </w:pPr>
  </w:style>
  <w:style w:type="paragraph" w:customStyle="1" w:styleId="59">
    <w:name w:val="标题 5（有编号）（安华金和）"/>
    <w:basedOn w:val="1"/>
    <w:next w:val="1"/>
    <w:qFormat/>
    <w:uiPriority w:val="0"/>
    <w:pPr>
      <w:keepNext/>
      <w:keepLines/>
      <w:numPr>
        <w:ilvl w:val="4"/>
        <w:numId w:val="2"/>
      </w:numPr>
      <w:spacing w:before="280" w:after="156" w:line="377" w:lineRule="auto"/>
      <w:ind w:left="0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60">
    <w:name w:val="List Paragraph11"/>
    <w:basedOn w:val="1"/>
    <w:next w:val="1"/>
    <w:qFormat/>
    <w:uiPriority w:val="34"/>
    <w:pPr>
      <w:spacing w:line="360" w:lineRule="auto"/>
      <w:ind w:firstLine="420" w:firstLineChars="200"/>
    </w:pPr>
    <w:rPr>
      <w:rFonts w:ascii="Verdana" w:hAnsi="Verdana"/>
      <w:color w:val="000000"/>
      <w:sz w:val="20"/>
      <w:szCs w:val="20"/>
    </w:rPr>
  </w:style>
  <w:style w:type="character" w:customStyle="1" w:styleId="61">
    <w:name w:val="批注文字 字符"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348</Words>
  <Characters>1990</Characters>
  <Lines>16</Lines>
  <Paragraphs>4</Paragraphs>
  <TotalTime>0</TotalTime>
  <ScaleCrop>false</ScaleCrop>
  <LinksUpToDate>false</LinksUpToDate>
  <CharactersWithSpaces>2334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2021-06-30T01:54:00Z</dcterms:created>
  <dc:creator>陈永辉</dc:creator>
  <cp:lastModifiedBy>- 杰 -</cp:lastModifiedBy>
  <dcterms:modified xsi:type="dcterms:W3CDTF">2021-08-12T07:07:35Z</dcterms:modified>
  <dc:title>1</dc:title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97F9B1B3EED34F458AE068F95BF538D6</vt:lpwstr>
  </property>
</Properties>
</file>