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440001-2024-41879</w:t>
      </w:r>
    </w:p>
    <w:p>
      <w:pPr>
        <w:pStyle w:val="null3"/>
        <w:jc w:val="center"/>
        <w:outlineLvl w:val="3"/>
      </w:pPr>
      <w:r>
        <w:rPr>
          <w:sz w:val="24"/>
          <w:b/>
        </w:rPr>
        <w:t>采购项目编号：</w:t>
      </w:r>
      <w:r>
        <w:rPr>
          <w:sz w:val="24"/>
          <w:b/>
        </w:rPr>
        <w:t>0877-24GZTP1ZC0663</w:t>
      </w:r>
    </w:p>
    <w:p>
      <w:pPr>
        <w:pStyle w:val="null3"/>
        <w:jc w:val="center"/>
        <w:outlineLvl w:val="3"/>
      </w:pPr>
      <w:r>
        <w:rPr>
          <w:sz w:val="24"/>
          <w:b/>
        </w:rPr>
        <w:t>项目名称：</w:t>
      </w:r>
      <w:r>
        <w:rPr>
          <w:sz w:val="24"/>
          <w:b/>
        </w:rPr>
        <w:t>广东省森林草原湿地荒漠化普查支撑软件技术服务项目</w:t>
      </w:r>
    </w:p>
    <w:p>
      <w:pPr>
        <w:pStyle w:val="null3"/>
        <w:jc w:val="center"/>
        <w:outlineLvl w:val="3"/>
      </w:pPr>
      <w:r>
        <w:rPr>
          <w:sz w:val="24"/>
          <w:b/>
        </w:rPr>
        <w:t>采购人：</w:t>
      </w:r>
      <w:r>
        <w:rPr>
          <w:sz w:val="24"/>
          <w:b/>
        </w:rPr>
        <w:t>广东省林业调查规划院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广东省林业调查规划院</w:t>
      </w:r>
      <w:r>
        <w:rPr/>
        <w:t>的委托，采用</w:t>
      </w:r>
      <w:r>
        <w:rPr/>
        <w:t>公开招标</w:t>
      </w:r>
      <w:r>
        <w:rPr/>
        <w:t>方式组织采购</w:t>
      </w:r>
      <w:r>
        <w:rPr/>
        <w:t>广东省森林草原湿地荒漠化普查支撑软件技术服务项目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广东省森林草原湿地荒漠化普查支撑软件技术服务项目</w:t>
      </w:r>
    </w:p>
    <w:p>
      <w:pPr>
        <w:pStyle w:val="null3"/>
        <w:ind w:firstLine="480"/>
      </w:pPr>
      <w:r>
        <w:rPr/>
        <w:t>采购计划编号：</w:t>
      </w:r>
      <w:r>
        <w:rPr/>
        <w:t>440001-2024-41879</w:t>
      </w:r>
    </w:p>
    <w:p>
      <w:pPr>
        <w:pStyle w:val="null3"/>
        <w:ind w:firstLine="480"/>
      </w:pPr>
      <w:r>
        <w:rPr/>
        <w:t>采购项目编号：</w:t>
      </w:r>
      <w:r>
        <w:rPr/>
        <w:t>0877-24GZTP1ZC0663</w:t>
      </w:r>
    </w:p>
    <w:p>
      <w:pPr>
        <w:pStyle w:val="null3"/>
        <w:ind w:firstLine="480"/>
      </w:pPr>
      <w:r>
        <w:rPr/>
        <w:t>采购方式：</w:t>
      </w:r>
      <w:r>
        <w:rPr/>
        <w:t>公开招标</w:t>
      </w:r>
    </w:p>
    <w:p>
      <w:pPr>
        <w:pStyle w:val="null3"/>
        <w:ind w:firstLine="480"/>
      </w:pPr>
      <w:r>
        <w:rPr/>
        <w:t>预算金额：</w:t>
      </w:r>
      <w:r>
        <w:rPr/>
        <w:t>2,800,000.00</w:t>
      </w:r>
      <w:r>
        <w:rPr/>
        <w:t>元</w:t>
      </w:r>
    </w:p>
    <w:p>
      <w:pPr>
        <w:pStyle w:val="null3"/>
        <w:outlineLvl w:val="3"/>
      </w:pPr>
      <w:r>
        <w:rPr>
          <w:sz w:val="24"/>
          <w:b/>
        </w:rPr>
        <w:t>2.项目内容及需求情况（采购项目技术规格、参数及要求）</w:t>
      </w:r>
    </w:p>
    <w:p>
      <w:pPr>
        <w:pStyle w:val="null3"/>
      </w:pPr>
      <w:r>
        <w:rPr/>
        <w:t>采购包1(广东省森林草原湿地荒漠化普查支撑软件技术服务):</w:t>
      </w:r>
    </w:p>
    <w:p>
      <w:pPr>
        <w:pStyle w:val="null3"/>
      </w:pPr>
      <w:r>
        <w:rPr/>
        <w:t>采购包预算金额：2,800,000.00元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行业应用软件开发服务</w:t>
            </w:r>
          </w:p>
        </w:tc>
        <w:tc>
          <w:tcPr>
            <w:tcW w:type="dxa" w:w="2052"/>
          </w:tcPr>
          <w:p>
            <w:pPr>
              <w:pStyle w:val="null3"/>
            </w:pPr>
            <w:r>
              <w:rPr/>
              <w:t>广东省森林草原湿地荒漠化普查支撑软件技术服务</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2,800,000.00</w:t>
            </w:r>
          </w:p>
        </w:tc>
        <w:tc>
          <w:tcPr>
            <w:tcW w:type="dxa" w:w="977"/>
          </w:tcPr>
          <w:p>
            <w:pPr>
              <w:pStyle w:val="null3"/>
            </w:pPr>
            <w:r>
              <w:rPr/>
              <w:t>否</w:t>
            </w:r>
          </w:p>
        </w:tc>
      </w:tr>
    </w:tbl>
    <w:p>
      <w:pPr>
        <w:pStyle w:val="null3"/>
      </w:pPr>
      <w:r>
        <w:rPr/>
        <w:t>本采购包接受联合体投标</w:t>
      </w:r>
    </w:p>
    <w:p>
      <w:pPr>
        <w:pStyle w:val="null3"/>
      </w:pPr>
      <w:r>
        <w:rPr/>
        <w:t>合同分包：不允许合同分包</w:t>
      </w:r>
    </w:p>
    <w:p>
      <w:pPr>
        <w:pStyle w:val="null3"/>
      </w:pPr>
      <w:r>
        <w:rPr/>
        <w:t>合同履行期限：2025年4月底前提交提供满足广东省林草湿荒普查技术要求的软件和第三方软件检测报告。</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提供投标截止日前6个月内任意1个月依法缴纳税收的相关材料；提供投标截止日前6个月内任意1个月依法缴纳社会保障资金的相关材料。如依法免税或不需要缴纳社会保障资金的，提供相应证明材料。</w:t>
      </w:r>
    </w:p>
    <w:p>
      <w:pPr>
        <w:pStyle w:val="null3"/>
      </w:pPr>
      <w:r>
        <w:rPr/>
        <w:t>3）具有良好的商业信誉和健全的财务会计制度：提供2023年度财务状况报告；或银行出具的资信证明材料复印件。</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采购包1（广东省森林草原湿地荒漠化普查支撑软件技术服务）：</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采购包1（广东省森林草原湿地荒漠化普查支撑软件技术服务）：</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pPr>
      <w:r>
        <w:rPr/>
        <w:t>3)本项目接受联合体投标。联合体投标的，参加本项目联合体的供应商不超过二个，均应符合《中华人民共和国政府采购法》第二十四条和《中华人民共和国政府采购法实施条例》第二十二条规定的条件。投标文件除联合体共同协议需联合体各方盖章外，其余投标文件内容只需联合体的牵头人盖章。法定代表人证明或其授权委托人证明只需联合体的牵头人提供。</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广东省林业调查规划院</w:t>
      </w:r>
    </w:p>
    <w:p>
      <w:pPr>
        <w:pStyle w:val="null3"/>
        <w:ind w:firstLine="480"/>
      </w:pPr>
      <w:r>
        <w:rPr/>
        <w:t xml:space="preserve"> 地址：</w:t>
      </w:r>
      <w:r>
        <w:rPr/>
        <w:t>广州市广汕一路338号</w:t>
      </w:r>
    </w:p>
    <w:p>
      <w:pPr>
        <w:pStyle w:val="null3"/>
        <w:ind w:firstLine="480"/>
      </w:pPr>
      <w:r>
        <w:rPr/>
        <w:t xml:space="preserve"> 联系方式：</w:t>
      </w:r>
      <w:r>
        <w:rPr/>
        <w:t>020-87029006</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广州市东风东路745号东山紫园商务大厦2003单元</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0"/>
        </w:rPr>
        <w:t>项目说明：</w:t>
      </w:r>
    </w:p>
    <w:p>
      <w:pPr>
        <w:pStyle w:val="null3"/>
        <w:ind w:firstLine="400"/>
        <w:jc w:val="left"/>
      </w:pPr>
      <w:r>
        <w:rPr>
          <w:sz w:val="20"/>
        </w:rPr>
        <w:t>1.项目名称：</w:t>
      </w:r>
      <w:r>
        <w:rPr>
          <w:sz w:val="20"/>
        </w:rPr>
        <w:t>广东省森林草原湿地荒漠化普查支撑软件技术服务项目</w:t>
      </w:r>
    </w:p>
    <w:p>
      <w:pPr>
        <w:pStyle w:val="null3"/>
        <w:ind w:firstLine="400"/>
        <w:jc w:val="left"/>
      </w:pPr>
      <w:r>
        <w:rPr>
          <w:sz w:val="20"/>
        </w:rPr>
        <w:t>2.项目总预算：</w:t>
      </w:r>
      <w:r>
        <w:rPr>
          <w:sz w:val="20"/>
        </w:rPr>
        <w:t>人民币2,800,000.00元</w:t>
      </w:r>
    </w:p>
    <w:p>
      <w:pPr>
        <w:pStyle w:val="null3"/>
        <w:ind w:firstLine="400"/>
        <w:jc w:val="left"/>
      </w:pPr>
      <w:r>
        <w:rPr>
          <w:sz w:val="20"/>
        </w:rPr>
        <w:t>3.投标人的总报价应为人民币含税全包价，投标报价应包含招标文件中招标内容、责任范围以及合同条款所规定的所有工作的全部费用，包括但不限于本项目设备购置费、差旅费、项目管理费、成果文件制作费用等所产生的费用。</w:t>
      </w:r>
    </w:p>
    <w:p>
      <w:pPr>
        <w:pStyle w:val="null3"/>
        <w:ind w:firstLine="400"/>
        <w:jc w:val="left"/>
      </w:pPr>
      <w:r>
        <w:rPr>
          <w:sz w:val="20"/>
        </w:rPr>
        <w:t>4.中标人提供服务须与投标文件响应程度相符，否则视为虚假应标，取消中标资格，投标人自行承担由此造成的损失。</w:t>
      </w:r>
    </w:p>
    <w:p>
      <w:pPr>
        <w:pStyle w:val="null3"/>
        <w:ind w:firstLine="400"/>
        <w:jc w:val="left"/>
      </w:pPr>
      <w:r>
        <w:rPr>
          <w:sz w:val="20"/>
        </w:rPr>
        <w:t>5.投标人应对整个项目进行报价，不允许只对其中部分内容进行报价，否则作为其投标无效处理。</w:t>
      </w:r>
    </w:p>
    <w:p>
      <w:pPr>
        <w:pStyle w:val="null3"/>
        <w:ind w:firstLine="480"/>
        <w:jc w:val="both"/>
      </w:pPr>
      <w:r>
        <w:rPr/>
        <w:t>一、项目主要内容</w:t>
      </w:r>
    </w:p>
    <w:p>
      <w:pPr>
        <w:pStyle w:val="null3"/>
        <w:ind w:firstLine="480"/>
        <w:jc w:val="both"/>
      </w:pPr>
      <w:r>
        <w:rPr/>
        <w:t>利用信息化技术手段，以最新年度国土变更调查成果为基础，参考有关专题调查成果，基于数字正射影像图，开展图斑区划。采取遥感监测、档案更新、补充调查、现地核实等多种方法，摸清林草湿资源数量、质量、结构等情况，荒漠化沙化土地、石漠化土地的类型、面积、程度、分布、治理情况。以地类对接完成后的年度国土变更调查成果中的二级地类图斑为基础，调查并标记可造林绿化的图斑。</w:t>
      </w:r>
    </w:p>
    <w:p>
      <w:pPr>
        <w:pStyle w:val="null3"/>
        <w:ind w:firstLine="480"/>
        <w:jc w:val="both"/>
      </w:pPr>
      <w:r>
        <w:rPr/>
        <w:t>二、采购项目内容及要求</w:t>
      </w:r>
    </w:p>
    <w:p>
      <w:pPr>
        <w:pStyle w:val="null3"/>
        <w:ind w:firstLine="480"/>
        <w:jc w:val="both"/>
      </w:pPr>
      <w:r>
        <w:rPr/>
        <w:t>（一）工作目的</w:t>
      </w:r>
    </w:p>
    <w:p>
      <w:pPr>
        <w:pStyle w:val="null3"/>
        <w:ind w:firstLine="480"/>
        <w:jc w:val="both"/>
      </w:pPr>
      <w:r>
        <w:rPr/>
        <w:t>通过提供森林草原湿地荒漠化普查支撑软件技术服务，为高效、高质量查清广东省范围内森林草原湿地数量、质量、结构等资源及其生态状况，以及荒漠化沙化、石漠化状况及治理情况，落实林地草地湿地管理类型，评估造林种草适宜空间等工作，提供强有力的基础信息技术支撑，为进一步丰富自然资源调查成果，深化完善国土“三调”一张图，明确森林草原湿地管理边界，编制“十五五”规划，支撑森林草原湿地保护发展以及荒漠化综合防治，推动林草事业高质量发展等提供基础数据。</w:t>
      </w:r>
    </w:p>
    <w:p>
      <w:pPr>
        <w:pStyle w:val="null3"/>
        <w:ind w:firstLine="480"/>
        <w:jc w:val="both"/>
      </w:pPr>
      <w:r>
        <w:rPr/>
        <w:t>（二）工作依据</w:t>
      </w:r>
    </w:p>
    <w:p>
      <w:pPr>
        <w:pStyle w:val="null3"/>
        <w:ind w:firstLine="480"/>
        <w:jc w:val="both"/>
      </w:pPr>
      <w:r>
        <w:rPr/>
        <w:t>1、《国土空间调查、规划、用途管制用地用海分类指南》（自然资发〔2023〕234 号）</w:t>
      </w:r>
    </w:p>
    <w:p>
      <w:pPr>
        <w:pStyle w:val="null3"/>
        <w:ind w:firstLine="480"/>
        <w:jc w:val="both"/>
      </w:pPr>
      <w:r>
        <w:rPr/>
        <w:t>2、《全国草原监测评价工作手册（2021 年）》</w:t>
      </w:r>
    </w:p>
    <w:p>
      <w:pPr>
        <w:pStyle w:val="null3"/>
        <w:ind w:firstLine="480"/>
        <w:jc w:val="both"/>
      </w:pPr>
      <w:r>
        <w:rPr/>
        <w:t>3、《全国荒漠化和沙化监测技术规定（2019 年修订）》</w:t>
      </w:r>
    </w:p>
    <w:p>
      <w:pPr>
        <w:pStyle w:val="null3"/>
        <w:ind w:firstLine="480"/>
        <w:jc w:val="both"/>
      </w:pPr>
      <w:r>
        <w:rPr/>
        <w:t>4、《岩溶地区石漠化调查技术规定（2021 年修订）》</w:t>
      </w:r>
    </w:p>
    <w:p>
      <w:pPr>
        <w:pStyle w:val="null3"/>
        <w:ind w:firstLine="480"/>
        <w:jc w:val="both"/>
      </w:pPr>
      <w:r>
        <w:rPr/>
        <w:t>5、《全国森林草原湿地荒漠化普查技术方案》（试行）</w:t>
      </w:r>
    </w:p>
    <w:p>
      <w:pPr>
        <w:pStyle w:val="null3"/>
        <w:ind w:firstLine="480"/>
        <w:jc w:val="both"/>
      </w:pPr>
      <w:r>
        <w:rPr/>
        <w:t>6、《全国森林草原湿地荒漠化普查技术规程》</w:t>
      </w:r>
    </w:p>
    <w:p>
      <w:pPr>
        <w:pStyle w:val="null3"/>
        <w:ind w:firstLine="480"/>
        <w:jc w:val="both"/>
      </w:pPr>
      <w:r>
        <w:rPr/>
        <w:t>7、《全国森林草原湿地荒漠化普查工作方案》</w:t>
      </w:r>
    </w:p>
    <w:p>
      <w:pPr>
        <w:pStyle w:val="null3"/>
        <w:ind w:firstLine="480"/>
        <w:jc w:val="both"/>
      </w:pPr>
      <w:r>
        <w:rPr/>
        <w:t>8、《不一致图斑内业预判和实地认定及属性标注细则（试行）》</w:t>
      </w:r>
    </w:p>
    <w:p>
      <w:pPr>
        <w:pStyle w:val="null3"/>
        <w:ind w:firstLine="480"/>
        <w:jc w:val="both"/>
      </w:pPr>
      <w:r>
        <w:rPr/>
        <w:t>9、《土地利用现状分类》（GB/T 21010-2017）</w:t>
      </w:r>
    </w:p>
    <w:p>
      <w:pPr>
        <w:pStyle w:val="null3"/>
        <w:ind w:firstLine="480"/>
        <w:jc w:val="both"/>
      </w:pPr>
      <w:r>
        <w:rPr/>
        <w:t>10、《第三次全国国土调查技术规程》（TD/T 1055-2019）</w:t>
      </w:r>
    </w:p>
    <w:p>
      <w:pPr>
        <w:pStyle w:val="null3"/>
        <w:ind w:firstLine="480"/>
        <w:jc w:val="both"/>
      </w:pPr>
      <w:r>
        <w:rPr/>
        <w:t>11、《广东省林草湿数据与第三次全国国土调查数据对接融合操作细则》</w:t>
      </w:r>
    </w:p>
    <w:p>
      <w:pPr>
        <w:pStyle w:val="null3"/>
        <w:ind w:firstLine="480"/>
        <w:jc w:val="both"/>
      </w:pPr>
      <w:r>
        <w:rPr/>
        <w:t>12、《广东省森林资源规划设计调查操作细则》（2016）</w:t>
      </w:r>
    </w:p>
    <w:p>
      <w:pPr>
        <w:pStyle w:val="null3"/>
        <w:ind w:firstLine="480"/>
        <w:jc w:val="both"/>
      </w:pPr>
      <w:r>
        <w:rPr/>
        <w:t>13、《全国森林草原湿地荒漠化普查问题解答（一）》</w:t>
      </w:r>
    </w:p>
    <w:p>
      <w:pPr>
        <w:pStyle w:val="null3"/>
        <w:ind w:firstLine="480"/>
        <w:jc w:val="both"/>
      </w:pPr>
      <w:r>
        <w:rPr/>
        <w:t>14、《全国森林草原湿地荒漠化普查问题解答（二）》</w:t>
      </w:r>
    </w:p>
    <w:p>
      <w:pPr>
        <w:pStyle w:val="null3"/>
        <w:ind w:firstLine="480"/>
        <w:jc w:val="both"/>
      </w:pPr>
      <w:r>
        <w:rPr/>
        <w:t>（三）工作内容</w:t>
      </w:r>
    </w:p>
    <w:p>
      <w:pPr>
        <w:pStyle w:val="null3"/>
        <w:ind w:firstLine="480"/>
        <w:jc w:val="both"/>
      </w:pPr>
      <w:r>
        <w:rPr/>
        <w:t>针对广东省森林、草原、湿地、荒漠化综合监测任务提供产品支撑与培训、技术咨询、现场指导等专业化技术服务，包括：1、实现通过综合监测评价数据库自动生成符合林草湿荒普查标准字段的普查底图数据库，并且可加载参考矢量图层、本地影像和影像服务；2、实现利用多套相关数据库映射相关字段属性能力，并且可设定图形空间重叠比例进行字段属性映射；3、实现行政区域或经营范围规整能力，且能对不符合国土变更调查上图面积图斑进行规则合并；4、实现对图斑属性进行逻辑检查，可以对同类问题批量修改功能；5、实现省市县各层级实时数据汇总统计分析能力，生成林业统计表格；6、外业调查APP采集照片和数据必须符合国土变更调查要求，并与综合感知服务系统互通；7、统一提供软件现场培训、技术指导和软件升级更新服务。</w:t>
      </w:r>
    </w:p>
    <w:p>
      <w:pPr>
        <w:pStyle w:val="null3"/>
        <w:ind w:firstLine="480"/>
        <w:jc w:val="both"/>
      </w:pPr>
      <w:r>
        <w:rPr/>
        <w:t>软件详细功能要求见下表：</w:t>
      </w:r>
    </w:p>
    <w:p>
      <w:pPr>
        <w:pStyle w:val="null3"/>
        <w:ind w:firstLine="480"/>
        <w:jc w:val="center"/>
      </w:pPr>
      <w:r>
        <w:rPr/>
        <w:t>功能要求清单</w:t>
      </w:r>
    </w:p>
    <w:tbl>
      <w:tblPr>
        <w:tblW w:w="0" w:type="auto"/>
        <w:tblBorders>
          <w:top w:val="none" w:color="000000" w:sz="4"/>
          <w:left w:val="none" w:color="000000" w:sz="4"/>
          <w:bottom w:val="none" w:color="000000" w:sz="4"/>
          <w:right w:val="none" w:color="000000" w:sz="4"/>
          <w:insideH w:val="none"/>
          <w:insideV w:val="none"/>
        </w:tblBorders>
      </w:tblPr>
      <w:tblGrid>
        <w:gridCol w:w="561"/>
        <w:gridCol w:w="1036"/>
        <w:gridCol w:w="950"/>
        <w:gridCol w:w="1065"/>
        <w:gridCol w:w="4678"/>
      </w:tblGrid>
      <w:tr>
        <w:tc>
          <w:tcPr>
            <w:tcW w:type="dxa" w:w="561"/>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序号</w:t>
            </w:r>
          </w:p>
        </w:tc>
        <w:tc>
          <w:tcPr>
            <w:tcW w:type="dxa" w:w="1036"/>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系统名称</w:t>
            </w:r>
          </w:p>
        </w:tc>
        <w:tc>
          <w:tcPr>
            <w:tcW w:type="dxa" w:w="950"/>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模块名称</w:t>
            </w:r>
          </w:p>
        </w:tc>
        <w:tc>
          <w:tcPr>
            <w:tcW w:type="dxa" w:w="1065"/>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功能点</w:t>
            </w:r>
          </w:p>
        </w:tc>
        <w:tc>
          <w:tcPr>
            <w:tcW w:type="dxa" w:w="4678"/>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功能点说明</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w:t>
            </w:r>
          </w:p>
        </w:tc>
        <w:tc>
          <w:tcPr>
            <w:tcW w:type="dxa" w:w="1036"/>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广东省林草湿荒普查内业生产工具集</w:t>
            </w: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工程管理</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工程创建</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基于工程模板，自动生成符合林草湿荒普查标准字段的普查底图数据库工程</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字典管理</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支持广东省林草湿荒普查行政区划、各调查因子的代码名称管理，实现代码及名称的增删改查</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数据转换</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left"/>
            </w:pPr>
            <w:r>
              <w:rPr>
                <w:sz w:val="18"/>
              </w:rPr>
              <w:t>能支持 Mdb、Gdb、Shape file 等常用数据格式的导入与导出</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数据升级</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支持工程升级及属性升级，一键式实现当前工程升级到标准普查工程</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任务分配</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left"/>
            </w:pPr>
            <w:r>
              <w:rPr>
                <w:sz w:val="18"/>
              </w:rPr>
              <w:t>支持基于任意字段进行工程任务划分，作为内业人员区划判读处理的工作单元，可一键式进行作业工程合并，建立县级工程</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6</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图层加载</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支持加载参考矢量图层、影像以及广东省已有的在线影像服务</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7</w:t>
            </w:r>
          </w:p>
        </w:tc>
        <w:tc>
          <w:tcPr>
            <w:tcW w:type="dxa" w:w="1036"/>
            <w:vMerge/>
            <w:tcBorders>
              <w:top w:val="none" w:color="000000" w:sz="4"/>
              <w:left w:val="single" w:color="000000" w:sz="8"/>
              <w:bottom w:val="single" w:color="000000" w:sz="8"/>
              <w:right w:val="single" w:color="000000" w:sz="8"/>
            </w:tcBorders>
          </w:tcP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底图制作</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底图生成</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基于国家下发的林草湿底图生成普查区划底图，自动实现用地用海分类、地类、优势树种、草地利用方式等字段的字典转换</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8</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▲不一致图斑融合</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将广东省不一致图斑调查成果融入区划底图，并自动将不一致图斑的地类及植被覆盖类型更新至底图对应属性中</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9</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细小图斑标注</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按照一定的规则，自动标注碎小图斑以及异形图斑，便于后续核实修改</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10</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图形预处理</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支持对底图中存在的尖锐角、碎小面等异形图斑进行自动处理</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11</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▲行政区域规整</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支持基于林草湿资源底图生成行政区划界线，并自动维护省市县乡村属性</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12</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国土地类图斑规整</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支持基于林草湿资源底图生成国土变更调查地类图斑范围，并自动维护国土调查属性</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13</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石漠化及沙化荒漠化数据预处理及上图</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对第四次石漠化调查成果、第六次沙化荒漠化调查成果进行属性预处理，将部分属性字段升级到普查标准字典；并支持基于空间叠加和属性对照关系，将第四次石漠化调查成果、第六次沙化荒漠化调查成果属性赋值到区划底图对应的属性</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14</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森林一张图数据预处理及上图</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支持广东省森林资源一张图数据的预处理，并基于空间叠加和属性对照关系，将属性赋值到区划底图对应的属性</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15</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森林补充调查数据预处理及上图</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支持广东省森林补充调查数据数据的预处理，并基于空间叠加和属性对照关系，将属性赋值到区划底图对应的属性</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16</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草原基况数据预处理及上图</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支持广东省草原基况数据的预处理，并基于空间叠加和属性对照关系，将属性赋值到区划底图对应的属性</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17</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湿地补充调查数据预处理及上图</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支持广东省湿地补充调查的预处理，并基于空间叠加和属性对照关系，将属性赋值到区划底图对应的属性</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18</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▲数据逻辑错误标记</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支持根据预处理的结果标记地类与优势树种不一致、植被覆盖类型与优势树种不一致、地类与植被覆盖类型不一致等错误类型，用于后续核实整改</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19</w:t>
            </w:r>
          </w:p>
        </w:tc>
        <w:tc>
          <w:tcPr>
            <w:tcW w:type="dxa" w:w="1036"/>
            <w:vMerge/>
            <w:tcBorders>
              <w:top w:val="none" w:color="000000" w:sz="4"/>
              <w:left w:val="single" w:color="000000" w:sz="8"/>
              <w:bottom w:val="single" w:color="000000" w:sz="8"/>
              <w:right w:val="single" w:color="000000" w:sz="8"/>
            </w:tcBorders>
          </w:tcP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图斑区划</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工作区划规划</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支持按照工程范围或图层范围生成网格，并标记网格的完成状态，便于在网格内逐图斑核实工作</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20</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逐一核实</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支持基于一定的规则要求，实现逐图斑跳转核实，并记录核实进度</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21</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图形编辑</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left"/>
            </w:pPr>
            <w:r>
              <w:rPr>
                <w:sz w:val="18"/>
              </w:rPr>
              <w:t>针对区划底图，提供新增、分割、合并、修边等各种常用编辑操作功能</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22</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▲图形批量处理</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left"/>
            </w:pPr>
            <w:r>
              <w:rPr>
                <w:sz w:val="18"/>
              </w:rPr>
              <w:t>提供图形规整、边界套合、尖锐角处理、小面合并、同属性面合并等图形批量处理工具</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23</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▲属性编辑</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left"/>
            </w:pPr>
            <w:r>
              <w:rPr>
                <w:sz w:val="18"/>
              </w:rPr>
              <w:t>支持属性结构的创建、编辑与修改，支持字段增加、删除；实现数据记录删除、追加与修改；支持属性数据导入导出；</w:t>
            </w:r>
          </w:p>
          <w:p>
            <w:pPr>
              <w:pStyle w:val="null3"/>
              <w:jc w:val="left"/>
            </w:pPr>
            <w:r>
              <w:rPr>
                <w:sz w:val="18"/>
              </w:rPr>
              <w:t>支持属性填写过程中基于一定的逻辑规则进行属性约束，设置必填属性、不可填写属性等</w:t>
            </w:r>
          </w:p>
          <w:p>
            <w:pPr>
              <w:pStyle w:val="null3"/>
              <w:jc w:val="left"/>
            </w:pPr>
            <w:r>
              <w:rPr>
                <w:sz w:val="18"/>
              </w:rPr>
              <w:t>支持属性填写过程中实时进行逻辑正确性检查</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24</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属性刷</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支持自定义设置属性刷，实现图斑属性快速更新</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25</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▲属性批量赋值</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提供按条件批量赋值、按属性对照关系批量赋值、批量属性清空、清空属性空格、椭球面积计算、叠加分析赋值、临近图斑赋值、代码字典转换等属性批量维护工具</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26</w:t>
            </w:r>
          </w:p>
        </w:tc>
        <w:tc>
          <w:tcPr>
            <w:tcW w:type="dxa" w:w="1036"/>
            <w:vMerge/>
            <w:tcBorders>
              <w:top w:val="none" w:color="000000" w:sz="4"/>
              <w:left w:val="single" w:color="000000" w:sz="8"/>
              <w:bottom w:val="single" w:color="000000" w:sz="8"/>
              <w:right w:val="single" w:color="000000" w:sz="8"/>
            </w:tcBorders>
          </w:tcP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内外业对接</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外业调查数据生成</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支持基于内业核实的结果自动提取外业调查数据，并对数据进行唯一编号以及预质检，保证外业数据能上传到外业app端</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27</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外业调查数据的上传和下载</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支持将外业调查数据的上传至外业app端；并支持将外业app端的外业调查成果下载到桌面端，并支持查看外业照片</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28</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外业成果更新</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支持将外业调查成果的属性批量更新至区划底图</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29</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基于DEM赋值</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支持基于DEM批量赋值底图的海拔、坡度、坡向等属性因子</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30</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林分因子计算</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基于广东省林分模型公式，批量计算平均树高、平均胸径以及蓄积量等属性因子</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31</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其他因子赋值</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基于属性间的逻辑关系批量计算荒漠化程度、沙化程度、石漠化程度、石漠化状况、石漠化演变程度、植被结构等属性因子</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32</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▲国土范围及属性维护</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支持基于最新的国土变更调查地类图斑范围维护区划底图的边界及国土属性，并同步完成小面、尖锐角等图斑的批处理</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33</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小班编号维护</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对小班号进行批量维护，保证村内唯一</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34</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▲面积属性维护</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对小班面积进行批量维护，保证同一标识码内的小班面积之和等于该标识码对应的图斑面积</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35</w:t>
            </w:r>
          </w:p>
        </w:tc>
        <w:tc>
          <w:tcPr>
            <w:tcW w:type="dxa" w:w="1036"/>
            <w:vMerge/>
            <w:tcBorders>
              <w:top w:val="none" w:color="000000" w:sz="4"/>
              <w:left w:val="single" w:color="000000" w:sz="8"/>
              <w:bottom w:val="single" w:color="000000" w:sz="8"/>
              <w:right w:val="single" w:color="000000" w:sz="8"/>
            </w:tcBorders>
          </w:tcP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数据质检</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▲图形检查</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left"/>
            </w:pPr>
            <w:r>
              <w:rPr>
                <w:sz w:val="18"/>
              </w:rPr>
              <w:t>检查区划底图是否存在多部件、重叠、自相交、尖锐角或者碎小面等拓扑问题；检查区划底图是否跨越或超出地类图斑和行政区等</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36</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属性检查</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对区划底图开展包括字典阈检查、必填检查、逻辑检查、提示项检查以及字段长度超限检查等</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37</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检查结果定位及修改</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left"/>
            </w:pPr>
            <w:r>
              <w:rPr>
                <w:sz w:val="18"/>
              </w:rPr>
              <w:t>对检查出的错误进行提示和图形定位，能进行图形-属性联动修改，检查修改后的数据能够满足国家对数据质量的要求，能通过国家软件检查</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38</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检查结果导出</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支持对检查结果导出矢量数据或表格数据。</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39</w:t>
            </w:r>
          </w:p>
        </w:tc>
        <w:tc>
          <w:tcPr>
            <w:tcW w:type="dxa" w:w="1036"/>
            <w:vMerge/>
            <w:tcBorders>
              <w:top w:val="none" w:color="000000" w:sz="4"/>
              <w:left w:val="single" w:color="000000" w:sz="8"/>
              <w:bottom w:val="single" w:color="000000" w:sz="8"/>
              <w:right w:val="single" w:color="000000" w:sz="8"/>
            </w:tcBorders>
          </w:tcP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成果管理</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标准成果生成</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支持按照国家要求生成标准格式成果用于数据汇交上报</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40</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专题成果生成</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支持基于普查成果提取林草湿荒各类专项调查成果图层</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41</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▲统计汇总</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支持按照国家要求或广东省定制要求对省市县各层级实时数据汇总统计分析，并输出对应报表</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42</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报告编制</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支持按照一定规则输出广东省各级普查成果报告</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43</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图件编制</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支持按照一定规则输出广东省各级林草湿荒专题图件</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44</w:t>
            </w:r>
          </w:p>
        </w:tc>
        <w:tc>
          <w:tcPr>
            <w:tcW w:type="dxa" w:w="1036"/>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广东省林草湿荒普查外业调查APP</w:t>
            </w: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用户管理</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用户列表</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提供部门管理、单位管理、新增用户、用户编辑、用户权限等管理</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45</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用户登录</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提供用户登录能力，支持手机号+验证码、用户名+密码等方式登录APP</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46</w:t>
            </w:r>
          </w:p>
        </w:tc>
        <w:tc>
          <w:tcPr>
            <w:tcW w:type="dxa" w:w="1036"/>
            <w:vMerge/>
            <w:tcBorders>
              <w:top w:val="none" w:color="000000" w:sz="4"/>
              <w:left w:val="single" w:color="000000" w:sz="8"/>
              <w:bottom w:val="single" w:color="000000" w:sz="8"/>
              <w:right w:val="single" w:color="000000" w:sz="8"/>
            </w:tcBorders>
          </w:tcP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任务管理</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任务列表</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以列表的形式展示各类调查任务，并记录调查的总图斑数、已调查图斑和已提交图斑数</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47</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图斑列表</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以列表/或地图的形式展示调查任务中的所有图斑，并展示每个图斑的领取状态、调查状态、质检状态和提交状态</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48</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数据同步</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在联网状态下将桌面端上传的需外业调查图斑按照行政区划自动同步下载到APP，用于开展外业调查</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49</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数据领取</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支持针对需要本人开展的外业图斑进行单个或批量领取</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50</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成果提交</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支持将已调查且已通过质检的图斑及照片等信息在联网状态下提交到桌面端，用于后续处理</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51</w:t>
            </w:r>
          </w:p>
        </w:tc>
        <w:tc>
          <w:tcPr>
            <w:tcW w:type="dxa" w:w="1036"/>
            <w:vMerge/>
            <w:tcBorders>
              <w:top w:val="none" w:color="000000" w:sz="4"/>
              <w:left w:val="single" w:color="000000" w:sz="8"/>
              <w:bottom w:val="single" w:color="000000" w:sz="8"/>
              <w:right w:val="single" w:color="000000" w:sz="8"/>
            </w:tcBorders>
          </w:tcP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图斑调查</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图形编辑</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支持对任意图斑进行分割，并自动维护外业编号；支持对被分割的图斑进行合并</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52</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属性填写</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基于一定的属性逻辑规则，填写外业数据的属性因子</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53</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▲照片拍摄</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支持对图斑进行照片拍摄或视频录制，拍摄的照片必须符合国土变更调查要求</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54</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属性质检</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内置质检规则，对已完成调查的外业图斑开展属性质量检查，保证外业成果的正确性。</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55</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ind w:firstLine="180"/>
              <w:jc w:val="both"/>
            </w:pPr>
            <w:r>
              <w:rPr>
                <w:sz w:val="18"/>
              </w:rPr>
              <w:t>地图导航</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支持基于外业图斑，自动关联百度地图或高德定位进行路线规划。</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56</w:t>
            </w:r>
          </w:p>
        </w:tc>
        <w:tc>
          <w:tcPr>
            <w:tcW w:type="dxa" w:w="1036"/>
            <w:vMerge/>
            <w:tcBorders>
              <w:top w:val="none" w:color="000000" w:sz="4"/>
              <w:left w:val="single" w:color="000000" w:sz="8"/>
              <w:bottom w:val="single" w:color="000000" w:sz="8"/>
              <w:right w:val="single" w:color="000000" w:sz="8"/>
            </w:tcBorders>
          </w:tcPr>
          <w:p/>
        </w:tc>
        <w:tc>
          <w:tcPr>
            <w:tcW w:type="dxa" w:w="950"/>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系统对接</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▲与综合感知服务系统互通</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需与综合感知服务系统互通，保证外业成果能够共享</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57</w:t>
            </w:r>
          </w:p>
        </w:tc>
        <w:tc>
          <w:tcPr>
            <w:tcW w:type="dxa" w:w="1036"/>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广东林草湿荒普查综合展示系统</w:t>
            </w: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资源概览</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重要资源因子</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在web端以普查成果为基础，以饼状图、树状图、表格等形式展示广东省森林覆盖率、森林面积、森林蓄积、林地面积重要因子</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58</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资源质量因子</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在web端以普查成果为基础，以饼状图、树状图、表格等形式展示广东省每公顷蓄积量、平均胸径、平均树高因子</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59</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生态服务功能</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在web端以普查成果为基础，以饼状图、树状图、表格等形式展示广东省总碳储量、生物量等生态因子。</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60</w:t>
            </w:r>
          </w:p>
        </w:tc>
        <w:tc>
          <w:tcPr>
            <w:tcW w:type="dxa" w:w="1036"/>
            <w:vMerge/>
            <w:tcBorders>
              <w:top w:val="none" w:color="000000" w:sz="4"/>
              <w:left w:val="single" w:color="000000" w:sz="8"/>
              <w:bottom w:val="single" w:color="000000" w:sz="8"/>
              <w:right w:val="single" w:color="000000" w:sz="8"/>
            </w:tcBorders>
          </w:tcPr>
          <w:p/>
        </w:tc>
        <w:tc>
          <w:tcPr>
            <w:tcW w:type="dxa" w:w="95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综合查询</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小班查询</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在web端展示以省、市、县为单位展示广东省普查小班信息。支持i查询。</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61</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空间查询</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通过导入shp格式数据，或者在地图上框选范围，实现对普查成果的查询，统计出各地类的数量等信息。支持查询结果导出。</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62</w:t>
            </w:r>
          </w:p>
        </w:tc>
        <w:tc>
          <w:tcPr>
            <w:tcW w:type="dxa" w:w="1036"/>
            <w:vMerge/>
            <w:tcBorders>
              <w:top w:val="none" w:color="000000" w:sz="4"/>
              <w:left w:val="single" w:color="000000" w:sz="8"/>
              <w:bottom w:val="single" w:color="000000" w:sz="8"/>
              <w:right w:val="single" w:color="000000" w:sz="8"/>
            </w:tcBorders>
          </w:tcPr>
          <w:p/>
        </w:tc>
        <w:tc>
          <w:tcPr>
            <w:tcW w:type="dxa" w:w="950"/>
            <w:vMerge/>
            <w:tcBorders>
              <w:top w:val="none" w:color="000000" w:sz="4"/>
              <w:left w:val="single" w:color="000000" w:sz="8"/>
              <w:bottom w:val="single" w:color="000000" w:sz="8"/>
              <w:right w:val="single" w:color="000000" w:sz="8"/>
            </w:tcBorders>
          </w:tcP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属性查询</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可以通过对行政区、小班字段等属性信息进行属性查询。</w:t>
            </w:r>
          </w:p>
        </w:tc>
      </w:tr>
      <w:tr>
        <w:tc>
          <w:tcPr>
            <w:tcW w:type="dxa" w:w="5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63</w:t>
            </w:r>
          </w:p>
        </w:tc>
        <w:tc>
          <w:tcPr>
            <w:tcW w:type="dxa" w:w="1036"/>
            <w:vMerge/>
            <w:tcBorders>
              <w:top w:val="none" w:color="000000" w:sz="4"/>
              <w:left w:val="single" w:color="000000" w:sz="8"/>
              <w:bottom w:val="single" w:color="000000" w:sz="8"/>
              <w:right w:val="single" w:color="000000" w:sz="8"/>
            </w:tcBorders>
          </w:tcPr>
          <w:p/>
        </w:tc>
        <w:tc>
          <w:tcPr>
            <w:tcW w:type="dxa" w:w="950"/>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统计报表</w:t>
            </w:r>
          </w:p>
        </w:tc>
        <w:tc>
          <w:tcPr>
            <w:tcW w:type="dxa" w:w="106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18"/>
              </w:rPr>
              <w:t>统计报表</w:t>
            </w:r>
          </w:p>
        </w:tc>
        <w:tc>
          <w:tcPr>
            <w:tcW w:type="dxa" w:w="4678"/>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18"/>
              </w:rPr>
              <w:t>支持按照省、市、县、乡（镇）统计出普查国家要求的报表。支持将报表导出为excel格式数据。</w:t>
            </w:r>
          </w:p>
        </w:tc>
      </w:tr>
    </w:tbl>
    <w:p>
      <w:pPr>
        <w:pStyle w:val="null3"/>
        <w:ind w:firstLine="480"/>
        <w:jc w:val="both"/>
      </w:pPr>
      <w:r>
        <w:rPr/>
        <w:t xml:space="preserve"> </w:t>
      </w:r>
    </w:p>
    <w:p>
      <w:pPr>
        <w:pStyle w:val="null3"/>
        <w:ind w:firstLine="480"/>
        <w:jc w:val="both"/>
      </w:pPr>
      <w:r>
        <w:rPr/>
        <w:t>（四）提交成果</w:t>
      </w:r>
    </w:p>
    <w:p>
      <w:pPr>
        <w:pStyle w:val="null3"/>
        <w:ind w:firstLine="480"/>
        <w:jc w:val="both"/>
      </w:pPr>
      <w:r>
        <w:rPr/>
        <w:t>1、提交满足功能要求的软件；</w:t>
      </w:r>
    </w:p>
    <w:p>
      <w:pPr>
        <w:pStyle w:val="null3"/>
        <w:ind w:firstLine="480"/>
        <w:jc w:val="both"/>
      </w:pPr>
      <w:r>
        <w:rPr/>
        <w:t>2、提供软件操作手册等相关文件；</w:t>
      </w:r>
    </w:p>
    <w:p>
      <w:pPr>
        <w:pStyle w:val="null3"/>
        <w:ind w:firstLine="480"/>
        <w:jc w:val="both"/>
      </w:pPr>
      <w:r>
        <w:rPr/>
        <w:t>3、提供第三方软件检测报告；</w:t>
      </w:r>
    </w:p>
    <w:p>
      <w:pPr>
        <w:pStyle w:val="null3"/>
        <w:ind w:firstLine="480"/>
        <w:jc w:val="both"/>
      </w:pPr>
      <w:r>
        <w:rPr/>
        <w:t>4、协助采购人办理软件著作权。</w:t>
      </w:r>
    </w:p>
    <w:p>
      <w:pPr>
        <w:pStyle w:val="null3"/>
        <w:ind w:firstLine="480"/>
        <w:jc w:val="both"/>
      </w:pPr>
      <w:r>
        <w:rPr/>
        <w:t>三、项目实施人员要求</w:t>
      </w:r>
    </w:p>
    <w:p>
      <w:pPr>
        <w:pStyle w:val="null3"/>
        <w:ind w:firstLine="480"/>
        <w:jc w:val="both"/>
      </w:pPr>
      <w:r>
        <w:rPr/>
        <w:t>1.为使项目按质、按量、按时及有序实施，本项目必须有一个完善且固定的项目实施小组及项目负责人，项目组成员应不少于35人，投标人须在投标文件中详细列明参与本项目的人员名单并附上其详细资料。</w:t>
      </w:r>
    </w:p>
    <w:p>
      <w:pPr>
        <w:pStyle w:val="null3"/>
        <w:ind w:firstLine="480"/>
        <w:jc w:val="both"/>
      </w:pPr>
      <w:r>
        <w:rPr/>
        <w:t>2.在项目实施期间，未经采购人同意，中标人不得调整在投标文件中所承诺的项目实施人员，否则采购人有权终止合同，并要求中标人赔偿由此给采购人造成的全部损失。</w:t>
      </w:r>
    </w:p>
    <w:p>
      <w:pPr>
        <w:pStyle w:val="null3"/>
        <w:ind w:firstLine="480"/>
        <w:jc w:val="both"/>
      </w:pPr>
      <w:r>
        <w:rPr/>
        <w:t>四、后续跟踪服务要求：</w:t>
      </w:r>
    </w:p>
    <w:p>
      <w:pPr>
        <w:pStyle w:val="null3"/>
        <w:ind w:firstLine="480"/>
        <w:jc w:val="both"/>
      </w:pPr>
      <w:r>
        <w:rPr/>
        <w:t>1.售后服务要求：中标人应为采购人作技术支持。</w:t>
      </w:r>
    </w:p>
    <w:p>
      <w:pPr>
        <w:pStyle w:val="null3"/>
        <w:ind w:firstLine="480"/>
        <w:jc w:val="both"/>
      </w:pPr>
      <w:r>
        <w:rPr/>
        <w:t>2.提供标准电话技术支持（5×8小时）。对采购人的服务通知，中标人在接报后30分钟内响应，8小时内到达现场并处理完毕。若8小时内仍未处理完毕，中标人必须免费采取应急措施解决，不得影响采购人的正常工作业务，除特殊情况外，故障排除时间不超过12小时。</w:t>
      </w:r>
    </w:p>
    <w:p>
      <w:pPr>
        <w:pStyle w:val="null3"/>
        <w:ind w:firstLine="480"/>
        <w:jc w:val="both"/>
      </w:pPr>
      <w:r>
        <w:rPr/>
        <w:t>3.售后服务：软件系统质量保证期为 一 年，自项目验收合格之日起算。质量保证期内，若普查技术规程等相关要求变化导致数据库标准和生产要求更改，中标人应无条件及时更新软件；针对实际工作中遇到的问题，能够及时增加、修改、完善和升级相关功能模块。质量保证期外升级费用双方协商另议。</w:t>
      </w:r>
    </w:p>
    <w:p>
      <w:pPr>
        <w:pStyle w:val="null3"/>
        <w:ind w:firstLine="480"/>
        <w:jc w:val="both"/>
      </w:pPr>
      <w:r>
        <w:rPr/>
        <w:t>4. 中标人应按招标方要求，免费完成省级集中培训 2 次。除集中培训之外，还应建立定期在线培训机制，通过在线视频、知识和实例库、技术咨询、网络视频等方式，实时解答各级林草湿荒普查人员在开展实际工作中遇到的疑难问题。</w:t>
      </w:r>
    </w:p>
    <w:p>
      <w:pPr>
        <w:pStyle w:val="null3"/>
        <w:ind w:firstLine="480"/>
        <w:jc w:val="both"/>
      </w:pPr>
      <w:r>
        <w:rPr/>
        <w:t>五、进度要求：</w:t>
      </w:r>
    </w:p>
    <w:p>
      <w:pPr>
        <w:pStyle w:val="null3"/>
        <w:ind w:firstLine="480"/>
        <w:jc w:val="both"/>
      </w:pPr>
      <w:r>
        <w:rPr/>
        <w:t>本项目总工期为三个月，分为三个阶段。</w:t>
      </w:r>
    </w:p>
    <w:p>
      <w:pPr>
        <w:pStyle w:val="null3"/>
        <w:ind w:firstLine="480"/>
        <w:jc w:val="both"/>
      </w:pPr>
      <w:r>
        <w:rPr/>
        <w:t>1、第一阶段为双方合同签订后一个月内，提交系统原型版本（具备项目要求的核心功能）；</w:t>
      </w:r>
    </w:p>
    <w:p>
      <w:pPr>
        <w:pStyle w:val="null3"/>
        <w:ind w:firstLine="480"/>
        <w:jc w:val="both"/>
      </w:pPr>
      <w:r>
        <w:rPr/>
        <w:t>2、第二阶段为2024年12月15日前，提交业务系统试运行版本（达到所规定的各项技术要求）；</w:t>
      </w:r>
    </w:p>
    <w:p>
      <w:pPr>
        <w:pStyle w:val="null3"/>
        <w:ind w:firstLine="480"/>
        <w:jc w:val="both"/>
      </w:pPr>
      <w:r>
        <w:rPr/>
        <w:t>3、第三阶段为2025年4月底前，进行正式版系统集成部署，并完成项目验收。</w:t>
      </w:r>
    </w:p>
    <w:p>
      <w:pPr>
        <w:pStyle w:val="null3"/>
        <w:ind w:firstLine="480"/>
        <w:jc w:val="both"/>
      </w:pPr>
      <w:r>
        <w:rPr/>
        <w:t>六、其他要求：</w:t>
      </w:r>
    </w:p>
    <w:p>
      <w:pPr>
        <w:pStyle w:val="null3"/>
        <w:ind w:firstLine="480"/>
        <w:jc w:val="both"/>
      </w:pPr>
      <w:r>
        <w:rPr/>
        <w:t>1.如遇政策要求（国家和省级林草主管部门政策变化或技术规程更新）导致服务内容有所变动的，中标人需按最新要求执行，若最终工作量偏差超过±20%，双方本着平等互利的原则进行协商解决。（提供承诺函，格式自拟。）</w:t>
      </w:r>
    </w:p>
    <w:p>
      <w:pPr>
        <w:pStyle w:val="null3"/>
      </w:pPr>
      <w:r>
        <w:rPr/>
        <w:t xml:space="preserve">     </w:t>
      </w:r>
    </w:p>
    <w:p>
      <w:pPr>
        <w:pStyle w:val="null3"/>
      </w:pPr>
      <w:r>
        <w:rPr/>
        <w:t>采购包1（广东省森林草原湿地荒漠化普查支撑软件技术服务）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2025年4月底前提交提供满足广东省林草湿荒普查技术要求的软件和第三方软件检测报告。</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1期：支付比例70%,签订合同后15个工作日内采购人支付合同总金额的70%；</w:t>
            </w:r>
          </w:p>
          <w:p>
            <w:pPr>
              <w:pStyle w:val="null3"/>
            </w:pPr>
            <w:r>
              <w:rPr/>
              <w:t>2期：支付比例20%,提供软件业务系统试运行后15个工作日内支付合同总金额的20%；</w:t>
            </w:r>
          </w:p>
          <w:p>
            <w:pPr>
              <w:pStyle w:val="null3"/>
            </w:pPr>
            <w:r>
              <w:rPr/>
              <w:t>3期：支付比例10%,经采购人验收合格后15个工作日内，支付合同总金额的10%。 注：中标人凭以下有效文件与采购人结算： （1）合同； （2）中标人开具的正式发票； （3）中标通知书。 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1期：1.软件的功能符合国家林草湿荒普查技术要求； 2.软件的功能满足省市县级普查工作要求； 3.软件运行稳定可靠，无明显缺陷和错误； 4.软件文档齐全，包括但不限于用户手册、操作指南等； 5.第三方软件检测报告。</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r>
              <w:rPr/>
              <w:t>其他商务要求，（一）投标报价：投标报价已包含完成本项目所需的人力成本、设备成本、利润、税金、交通等产生的任何费用，同时因国家和省级林草主管部门政策变化或技术指南更新而引起的项目调整、工作量增减及修改工作由中标人按要求完成，同时服务期可能顺延，在工作量增减不超过20%时采购人不另行支付费用，若工作量增减超过原委托工作量的20%时，中标人可与采购人协商增减相应工作经费。采购人将不予支付除招标文件及承包合同约定的由采购人承担的风险因素之外的任何补偿。（二）其他要求：1.投标人须针对本项目提供对应的总体技术方案、功能点应对方案、系统设计方案、售后服务方案。2..投标人须具有与本项目相关的系统研发、技术服务等项目经验。</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行业应用软件开发服务</w:t>
            </w:r>
          </w:p>
        </w:tc>
        <w:tc>
          <w:tcPr>
            <w:tcW w:type="dxa" w:w="933"/>
          </w:tcPr>
          <w:p>
            <w:pPr>
              <w:pStyle w:val="null3"/>
              <w:jc w:val="left"/>
            </w:pPr>
            <w:r>
              <w:rPr/>
              <w:t>广东省森林草原湿地荒漠化普查支撑软件技术服务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2,800,000.00</w:t>
            </w:r>
          </w:p>
        </w:tc>
        <w:tc>
          <w:tcPr>
            <w:tcW w:type="dxa" w:w="933"/>
          </w:tcPr>
          <w:p>
            <w:pPr>
              <w:pStyle w:val="null3"/>
              <w:jc w:val="right"/>
            </w:pPr>
            <w:r>
              <w:rPr/>
              <w:t>2,800,000.00</w:t>
            </w:r>
          </w:p>
        </w:tc>
        <w:tc>
          <w:tcPr>
            <w:tcW w:type="dxa" w:w="840"/>
          </w:tcPr>
          <w:p>
            <w:pPr>
              <w:pStyle w:val="null3"/>
            </w:pPr>
            <w:r>
              <w:rPr/>
              <w:t>农、林、牧、渔业</w:t>
            </w:r>
          </w:p>
        </w:tc>
        <w:tc>
          <w:tcPr>
            <w:tcW w:type="dxa" w:w="933"/>
          </w:tcPr>
          <w:p>
            <w:pPr>
              <w:pStyle w:val="null3"/>
            </w:pPr>
            <w:r>
              <w:rPr/>
              <w:t>详见附表一</w:t>
            </w:r>
          </w:p>
        </w:tc>
      </w:tr>
    </w:tbl>
    <w:p>
      <w:pPr>
        <w:pStyle w:val="null3"/>
      </w:pPr>
      <w:r>
        <w:rPr>
          <w:b/>
        </w:rPr>
        <w:t>附表</w:t>
      </w:r>
      <w:r>
        <w:rPr>
          <w:b/>
        </w:rPr>
        <w:t>一</w:t>
      </w:r>
      <w:r>
        <w:rPr>
          <w:b/>
        </w:rPr>
        <w:t>：</w:t>
      </w:r>
      <w:r>
        <w:rPr>
          <w:b/>
        </w:rPr>
        <w:t>广东省森林草原湿地荒漠化普查支撑软件技术服务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广东省林业调查规划院</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采购机构代理服务收费标准：按照采购代理委托协议规定。</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话：020-83188586、020-83188511、020-83188509、020-8318850</w:t>
      </w:r>
    </w:p>
    <w:p>
      <w:pPr>
        <w:pStyle w:val="null3"/>
      </w:pPr>
      <w:r>
        <w:rPr/>
        <w:t>邮 编：510030</w:t>
      </w:r>
    </w:p>
    <w:p>
      <w:pPr>
        <w:pStyle w:val="null3"/>
      </w:pPr>
      <w:r>
        <w:rPr/>
        <w:t>传 真：020-83357559</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广东省森林草原湿地荒漠化普查支撑软件技术服务)：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采购包1（广东省森林草原湿地荒漠化普查支撑软件技术服务）：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服务由小微企业承接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c>
          <w:tcPr>
            <w:tcW w:type="dxa" w:w="581"/>
          </w:tcPr>
          <w:p>
            <w:pPr>
              <w:pStyle w:val="null3"/>
            </w:pPr>
            <w:r>
              <w:rPr/>
              <w:t>2</w:t>
            </w:r>
          </w:p>
        </w:tc>
        <w:tc>
          <w:tcPr>
            <w:tcW w:type="dxa" w:w="2160"/>
          </w:tcPr>
          <w:p>
            <w:pPr>
              <w:pStyle w:val="null3"/>
              <w:jc w:val="left"/>
            </w:pPr>
            <w:r>
              <w:rPr/>
              <w:t>小型、微型企业，监狱企业，残疾人福利性单位</w:t>
            </w:r>
          </w:p>
        </w:tc>
        <w:tc>
          <w:tcPr>
            <w:tcW w:type="dxa" w:w="2160"/>
          </w:tcPr>
          <w:p>
            <w:pPr>
              <w:pStyle w:val="null3"/>
            </w:pPr>
            <w:r>
              <w:rPr/>
              <w:t>投标（响应）供应商为大中型企业与小微企业组成联合体或者大中型企业向一家或者多家小微企业分包的，对于联合体协议或者分包意向协议约定小微企业的合同份额占到合同总金额30%以上</w:t>
            </w:r>
          </w:p>
        </w:tc>
        <w:tc>
          <w:tcPr>
            <w:tcW w:type="dxa" w:w="1246"/>
          </w:tcPr>
          <w:p>
            <w:pPr>
              <w:pStyle w:val="null3"/>
            </w:pPr>
            <w:r>
              <w:rPr/>
              <w:t>5%</w:t>
            </w:r>
          </w:p>
        </w:tc>
        <w:tc>
          <w:tcPr>
            <w:tcW w:type="dxa" w:w="2160"/>
          </w:tcPr>
          <w:p>
            <w:pPr>
              <w:pStyle w:val="null3"/>
              <w:jc w:val="left"/>
            </w:pPr>
            <w:r>
              <w:rPr/>
              <w:t>大中型企业与小微企业组成联合体或者允许大中型企业向一家或者多家小微企业分包的采购项目，对于联合协议或者分包意向协议约定小微企业的合同份额占到合同总金额 30%以上的，报价给予价格扣除C1，即：评标价=投标报价×（1-C1）;监狱企业与残疾人福利性单位视同小型、微型企业，享受同等价格扣除，当企业属性重复时，不重复价格扣除。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采购包1（广东省森林草原湿地荒漠化普查支撑软件技术服务）：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提供投标截止日前6个月内任意1个月依法缴纳税收的相关材料；提供投标截止日前6个月内任意1个月依法缴纳社会保障资金的相关材料。如依法免税或不需要缴纳社会保障资金的，提供相应证明材料。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提供2023年度财务状况报告；或银行出具的资信证明材料复印件。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本项目接受联合体投标。联合体投标的，参加本项目联合体的供应商不超过二个，均应符合《中华人民共和国政府采购法》第二十四条和《中华人民共和国政府采购法实施条例》第二十二条规定的条件。投标文件除联合体共同协议需联合体各方盖章外，其余投标文件内容只需联合体的牵头人盖章。法定代表人证明或其授权委托人证明只需联合体的牵头人提供。</w:t>
            </w:r>
          </w:p>
        </w:tc>
        <w:tc>
          <w:tcPr>
            <w:tcW w:type="dxa" w:w="4238"/>
          </w:tcPr>
          <w:p>
            <w:pPr>
              <w:pStyle w:val="null3"/>
            </w:pPr>
            <w:r>
              <w:rPr/>
              <w:t>本项目接受联合体投标。联合体投标的，参加本项目联合体的供应商不超过二个，均应符合《中华人民共和国政府采购法》第二十四条和《中华人民共和国政府采购法实施条例》第二十二条规定的条件。投标文件除联合体共同协议需联合体各方盖章外，其余投标文件内容只需联合体的牵头人盖章。法定代表人证明或其授权委托人证明只需联合体的牵头人提供。</w:t>
            </w:r>
          </w:p>
        </w:tc>
      </w:tr>
      <w:tr>
        <w:tc>
          <w:tcPr>
            <w:tcW w:type="dxa" w:w="890"/>
          </w:tcPr>
          <w:p>
            <w:pPr>
              <w:pStyle w:val="null3"/>
            </w:pPr>
            <w:r>
              <w:rPr/>
              <w:t>9</w:t>
            </w:r>
          </w:p>
        </w:tc>
        <w:tc>
          <w:tcPr>
            <w:tcW w:type="dxa" w:w="3178"/>
          </w:tcPr>
          <w:p>
            <w:pPr>
              <w:pStyle w:val="null3"/>
            </w:pPr>
            <w:r>
              <w:rPr/>
              <w:t>本项目不属于专门面向中小企业采购的项目。仅在评审时对符合条件的小型、微型企业进行价格扣除（监狱企业、残疾人福利性单位视同为小型、微型企业）。</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采购包1（广东省森林草原湿地荒漠化普查支撑软件技术服务）：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投标报价没有超过本项目最高限价；</w:t>
            </w:r>
          </w:p>
        </w:tc>
        <w:tc>
          <w:tcPr>
            <w:tcW w:type="dxa" w:w="4238"/>
          </w:tcPr>
          <w:p>
            <w:pPr>
              <w:pStyle w:val="null3"/>
            </w:pPr>
            <w:r>
              <w:rPr/>
              <w:t>投标报价没有超过本项目最高限价；</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采购包1(广东省森林草原湿地荒漠化普查支撑软件技术服务):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对采购需求中带▲号的重要技术参数的响应情况 (12.0分)</w:t>
            </w:r>
          </w:p>
        </w:tc>
        <w:tc>
          <w:tcPr>
            <w:tcW w:type="dxa" w:w="5076"/>
          </w:tcPr>
          <w:p>
            <w:pPr>
              <w:pStyle w:val="null3"/>
              <w:jc w:val="left"/>
            </w:pPr>
            <w:r>
              <w:rPr/>
              <w:t>根据各投标人对《第二章 采购需求》中标注“▲”的重要技术参数的响应情况进行评审（共12项，最高得12分）： 标注“▲”的重要技术参数完全满足或优于的，得12分，每有1项负偏离或不完全满足的扣1分。 备注：如采购需求中有明确要求提供证明材料的则须提供相关证明材料，否则视为负偏离；</w:t>
            </w:r>
          </w:p>
        </w:tc>
      </w:tr>
      <w:tr>
        <w:tc>
          <w:tcPr>
            <w:tcW w:type="dxa" w:w="922"/>
            <w:gridSpan w:val="2"/>
            <w:vMerge/>
          </w:tcPr>
          <w:p/>
        </w:tc>
        <w:tc>
          <w:tcPr>
            <w:tcW w:type="dxa" w:w="2307"/>
          </w:tcPr>
          <w:p>
            <w:pPr>
              <w:pStyle w:val="null3"/>
              <w:jc w:val="left"/>
            </w:pPr>
            <w:r>
              <w:rPr/>
              <w:t>对采购需求中一般技术参数的的响应情况 (5.0分)</w:t>
            </w:r>
          </w:p>
        </w:tc>
        <w:tc>
          <w:tcPr>
            <w:tcW w:type="dxa" w:w="5076"/>
          </w:tcPr>
          <w:p>
            <w:pPr>
              <w:pStyle w:val="null3"/>
              <w:jc w:val="left"/>
            </w:pPr>
            <w:r>
              <w:rPr/>
              <w:t>一般技术条款的响应情况：根据各投标人对《第二章 采购需求》中未标注“★”或“▲”的一般技术参数的响应情况进行评审：一般技术参数条款完全满足或优于的，得5分；每有1项负偏离或不完全满足的扣0.5分，负偏离或不完全满足的超过10项的视为对技术要求有较大偏离，统一得0分。 备注：如采购需求中有明确要求提供证明材料的则须提供相关证明材料，否则视为负偏离</w:t>
            </w:r>
          </w:p>
        </w:tc>
      </w:tr>
      <w:tr>
        <w:tc>
          <w:tcPr>
            <w:tcW w:type="dxa" w:w="922"/>
            <w:gridSpan w:val="2"/>
            <w:vMerge/>
          </w:tcPr>
          <w:p/>
        </w:tc>
        <w:tc>
          <w:tcPr>
            <w:tcW w:type="dxa" w:w="2307"/>
          </w:tcPr>
          <w:p>
            <w:pPr>
              <w:pStyle w:val="null3"/>
              <w:jc w:val="left"/>
            </w:pPr>
            <w:r>
              <w:rPr/>
              <w:t>总体技术方案 (10.0分)</w:t>
            </w:r>
          </w:p>
        </w:tc>
        <w:tc>
          <w:tcPr>
            <w:tcW w:type="dxa" w:w="5076"/>
          </w:tcPr>
          <w:p>
            <w:pPr>
              <w:pStyle w:val="null3"/>
              <w:jc w:val="left"/>
            </w:pPr>
            <w:r>
              <w:rPr/>
              <w:t>1）系统总体架构设计层次明确、业务流程设计合理可行的，得5分；系统总体架构设计层次较明确、业务流程设计基本合理可行，得3分；系统总体架构设计层次不够明确、业务流程设计不够合理可行得1分。 2）技术路线成熟可靠，功能结构设计完善、逻辑关系清晰，系统接口设计合理，得5分；技术路线较成熟可靠，功能结构设计较完善、逻辑关系清晰，系统接口设计基本合理，得3分；技术路线不够成熟可靠，功能结构设计不够完善、逻辑关系不够清晰，系统接口设计不够合理得1分。</w:t>
            </w:r>
          </w:p>
        </w:tc>
      </w:tr>
      <w:tr>
        <w:tc>
          <w:tcPr>
            <w:tcW w:type="dxa" w:w="922"/>
            <w:gridSpan w:val="2"/>
            <w:vMerge/>
          </w:tcPr>
          <w:p/>
        </w:tc>
        <w:tc>
          <w:tcPr>
            <w:tcW w:type="dxa" w:w="2307"/>
          </w:tcPr>
          <w:p>
            <w:pPr>
              <w:pStyle w:val="null3"/>
              <w:jc w:val="left"/>
            </w:pPr>
            <w:r>
              <w:rPr/>
              <w:t>功能点应对 (10.0分)</w:t>
            </w:r>
          </w:p>
        </w:tc>
        <w:tc>
          <w:tcPr>
            <w:tcW w:type="dxa" w:w="5076"/>
          </w:tcPr>
          <w:p>
            <w:pPr>
              <w:pStyle w:val="null3"/>
              <w:jc w:val="left"/>
            </w:pPr>
            <w:r>
              <w:rPr/>
              <w:t>对各个模块的全面、准确的功能描述： 对各个模块的全面、准确的功能描述完整、准确的，得10分；对各个模块的全面、准确的功能描述较为完整、较为准确的，得6分；对各个模块的全面、准确的功能描述基本完整、基本准确的，得2分；未提供的不得分。</w:t>
            </w:r>
          </w:p>
        </w:tc>
      </w:tr>
      <w:tr>
        <w:tc>
          <w:tcPr>
            <w:tcW w:type="dxa" w:w="922"/>
            <w:gridSpan w:val="2"/>
            <w:vMerge/>
          </w:tcPr>
          <w:p/>
        </w:tc>
        <w:tc>
          <w:tcPr>
            <w:tcW w:type="dxa" w:w="2307"/>
          </w:tcPr>
          <w:p>
            <w:pPr>
              <w:pStyle w:val="null3"/>
              <w:jc w:val="left"/>
            </w:pPr>
            <w:r>
              <w:rPr/>
              <w:t>系统设计方案 (8.0分)</w:t>
            </w:r>
          </w:p>
        </w:tc>
        <w:tc>
          <w:tcPr>
            <w:tcW w:type="dxa" w:w="5076"/>
          </w:tcPr>
          <w:p>
            <w:pPr>
              <w:pStyle w:val="null3"/>
              <w:jc w:val="left"/>
            </w:pPr>
            <w:r>
              <w:rPr/>
              <w:t>对于投标人的系统设计方案：方案完全符合项目技术需求书的要求、科学合理、实现机制完善、技术手段先进，得8分；方案基本符合项目技术需求书的要求、基本合理、实现机制较完善、技术手段较先进，得4分；方案不能完全符合项目技术需求书的要求、不够科学合理、实现机制不够完善、技术手段不够先进，得1分。</w:t>
            </w:r>
          </w:p>
        </w:tc>
      </w:tr>
      <w:tr>
        <w:tc>
          <w:tcPr>
            <w:tcW w:type="dxa" w:w="922"/>
            <w:gridSpan w:val="2"/>
            <w:vMerge/>
          </w:tcPr>
          <w:p/>
        </w:tc>
        <w:tc>
          <w:tcPr>
            <w:tcW w:type="dxa" w:w="2307"/>
          </w:tcPr>
          <w:p>
            <w:pPr>
              <w:pStyle w:val="null3"/>
              <w:jc w:val="left"/>
            </w:pPr>
            <w:r>
              <w:rPr/>
              <w:t>售后服务方案 (5.0分)</w:t>
            </w:r>
          </w:p>
        </w:tc>
        <w:tc>
          <w:tcPr>
            <w:tcW w:type="dxa" w:w="5076"/>
          </w:tcPr>
          <w:p>
            <w:pPr>
              <w:pStyle w:val="null3"/>
              <w:jc w:val="left"/>
            </w:pPr>
            <w:r>
              <w:rPr/>
              <w:t>1、提供完整、有效的售后服务承诺书，且包含培训及技术支持相关内容，得1分。 2、根据供应商提供的具体售后服务方案进行评审得分，方案应包含但不限于售后服务响应时间、质量保障、应急保障等内容： 方案完整详细、合理、可行性高的，得4分；方案较为完整详细、较为合理、可行性较高的，得2分；方案基本完整详细、基本合理、可行性一般的，得1分；未提供的，不得分。</w:t>
            </w:r>
          </w:p>
        </w:tc>
      </w:tr>
      <w:tr>
        <w:tc>
          <w:tcPr>
            <w:tcW w:type="dxa" w:w="922"/>
            <w:gridSpan w:val="2"/>
            <w:vMerge w:val="restart"/>
          </w:tcPr>
          <w:p>
            <w:pPr>
              <w:pStyle w:val="null3"/>
              <w:jc w:val="center"/>
            </w:pPr>
            <w:r>
              <w:rPr/>
              <w:t>商务部分</w:t>
            </w:r>
          </w:p>
        </w:tc>
        <w:tc>
          <w:tcPr>
            <w:tcW w:type="dxa" w:w="2307"/>
          </w:tcPr>
          <w:p>
            <w:pPr>
              <w:pStyle w:val="null3"/>
              <w:jc w:val="left"/>
            </w:pPr>
            <w:r>
              <w:rPr/>
              <w:t>业绩案例 (15.0分)</w:t>
            </w:r>
          </w:p>
        </w:tc>
        <w:tc>
          <w:tcPr>
            <w:tcW w:type="dxa" w:w="5076"/>
          </w:tcPr>
          <w:p>
            <w:pPr>
              <w:pStyle w:val="null3"/>
              <w:jc w:val="left"/>
            </w:pPr>
            <w:r>
              <w:rPr/>
              <w:t>1.近3年（2021年至今），投标人具有与本项目相关（包括自然资源、林草湿荒调查监测等）的系统研发、技术服务等项目案例的，每提供一个得1分，最多得15分 （须提供合同复印件等有效证明材料并加盖投标人公章，业绩案例不可重复使用，不满足上述条件或未附有效证明材料的业绩均不计分。）</w:t>
            </w:r>
          </w:p>
        </w:tc>
      </w:tr>
      <w:tr>
        <w:tc>
          <w:tcPr>
            <w:tcW w:type="dxa" w:w="922"/>
            <w:gridSpan w:val="2"/>
            <w:vMerge/>
          </w:tcPr>
          <w:p/>
        </w:tc>
        <w:tc>
          <w:tcPr>
            <w:tcW w:type="dxa" w:w="2307"/>
          </w:tcPr>
          <w:p>
            <w:pPr>
              <w:pStyle w:val="null3"/>
              <w:jc w:val="left"/>
            </w:pPr>
            <w:r>
              <w:rPr/>
              <w:t>综合实力 (7.0分)</w:t>
            </w:r>
          </w:p>
        </w:tc>
        <w:tc>
          <w:tcPr>
            <w:tcW w:type="dxa" w:w="5076"/>
          </w:tcPr>
          <w:p>
            <w:pPr>
              <w:pStyle w:val="null3"/>
              <w:jc w:val="left"/>
            </w:pPr>
            <w:r>
              <w:rPr/>
              <w:t>1.投标人具有质量管理体系认证证书、信息技术服务管理体系认证证书的，每提供一个得1分，该项最高得2分。 【注：同时提供有效期内的证书复印件以及在全国认证认可信息公共服务平台（http://cx.cnca.cn/）对体系证书的信息查询截图，未按上述要求提供证明材料或证书已失效或撤销或暂停的不得分；如因供应商成立时间原因导致无法获得上述评价的，按对应得分，供应商须进行说明。】 2.投标人具有类似项目的数据处理、数据管理、外业调查、质检统计等类软件著作权的每提供一个得1分，该项最高得2分。 （须提供上述资质证书相关的复印件，并加盖投标人公章，否则不计分） 3.投标人具有政府部门颁发的科技进步奖等荣誉奖项的，每有一项得1分，其他不得分，该项最高3分。 （须提供上述资质证书相关的复印件，并加盖投标人公章，否则不计分）</w:t>
            </w:r>
          </w:p>
        </w:tc>
      </w:tr>
      <w:tr>
        <w:tc>
          <w:tcPr>
            <w:tcW w:type="dxa" w:w="922"/>
            <w:gridSpan w:val="2"/>
            <w:vMerge/>
          </w:tcPr>
          <w:p/>
        </w:tc>
        <w:tc>
          <w:tcPr>
            <w:tcW w:type="dxa" w:w="2307"/>
          </w:tcPr>
          <w:p>
            <w:pPr>
              <w:pStyle w:val="null3"/>
              <w:jc w:val="left"/>
            </w:pPr>
            <w:r>
              <w:rPr/>
              <w:t>项目团队 (18.0分)</w:t>
            </w:r>
          </w:p>
        </w:tc>
        <w:tc>
          <w:tcPr>
            <w:tcW w:type="dxa" w:w="5076"/>
          </w:tcPr>
          <w:p>
            <w:pPr>
              <w:pStyle w:val="null3"/>
              <w:jc w:val="left"/>
            </w:pPr>
            <w:r>
              <w:rPr/>
              <w:t>1.项目负责人（2分）： 1）具有正高级林业工程师证书的，得1分；具有副高级林业工程师证书的，得0.4分；具有中级林业工程师证书的，得0.2分，其余不得分。 2）具有政府部门颁发的科技进步个人奖的得1分，没有不得分。 2.技术负责人（2分）： 1）具有正高级林业工程师证书的，得1分；具有副高级林业工程师证书的，得0.4分；具有中级林业工程师证书的，得0.2分，其余不得分。 2）具有政府部门颁发的科技进步个人奖的得1分，没有不得分。 3.质量负责人（1分）： 1）具有正高级林业工程师证书的，得1分；具有副高级林业工程师证书的，得0.4分；具有中级林业工程师证书的，得0.2分，其余不得分。 4.投标人拟为本项目配备的项目组人员（项目负责人、技术负责人、质量负责人除外）（本项最高计13分）： 1）具有正高级林业工程师证书的，每提供一类证书计0.4分，该小项最高可得13分。 2）具有副高级林业工程师证书的，每提供一类证书计0.2分，该小项最高可得9分。 3）具有中级林业工程师证书的，每提供一类证书计0.1分，该小项最高可得4分。 三类累计最高可得13分。 （同一人有多个证书的按照最高级别得分，不重复得分；须提供人员证书复印件及投标单位为其缴纳的近半年内任意一个月的社保证明材料复印件，并加盖投标人公章，否则不计分。）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r>
        <w:rPr>
          <w:sz w:val="24"/>
          <w:b/>
          <w:color w:val="222222"/>
        </w:rPr>
        <w:t>注：本合同仅为</w:t>
      </w:r>
      <w:r>
        <w:rPr>
          <w:sz w:val="24"/>
          <w:b/>
        </w:rPr>
        <w:t>合同的参考文本，合同签订双方可根据项目的具体要求进行修订。</w:t>
      </w:r>
    </w:p>
    <w:p>
      <w:pPr>
        <w:pStyle w:val="null3"/>
        <w:spacing w:before="0" w:after="0"/>
        <w:ind w:left="0" w:right="0"/>
        <w:jc w:val="both"/>
      </w:pPr>
      <w:r>
        <w:rPr>
          <w:b/>
        </w:rPr>
        <w:t>甲方：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rPr>
        <w:t>电话：</w:t>
      </w:r>
      <w:r>
        <w:rPr>
          <w:sz w:val="27"/>
        </w:rPr>
        <w:t xml:space="preserve"> </w:t>
      </w:r>
      <w:r>
        <w:rPr>
          <w:u w:val="single"/>
        </w:rPr>
        <w:t>　　　　</w:t>
      </w:r>
      <w:r>
        <w:rPr>
          <w:u w:val="single"/>
        </w:rPr>
        <w:t xml:space="preserve"> </w:t>
      </w:r>
      <w:r>
        <w:rPr>
          <w:u w:val="single"/>
        </w:rPr>
        <w:t xml:space="preserve"> </w:t>
      </w:r>
      <w:r>
        <w:rPr>
          <w:sz w:val="27"/>
        </w:rPr>
        <w:t>传真</w:t>
      </w:r>
      <w:r>
        <w:rPr>
          <w:sz w:val="27"/>
        </w:rPr>
        <w:t xml:space="preserve"> </w:t>
      </w:r>
      <w:r>
        <w:rPr>
          <w:sz w:val="27"/>
        </w:rPr>
        <w:t>：</w:t>
      </w:r>
      <w:r>
        <w:rPr>
          <w:sz w:val="27"/>
        </w:rPr>
        <w:t xml:space="preserve"> </w:t>
      </w:r>
      <w:r>
        <w:rPr>
          <w:u w:val="single"/>
        </w:rPr>
        <w:t>　　　</w:t>
      </w:r>
      <w:r>
        <w:rPr>
          <w:u w:val="single"/>
        </w:rPr>
        <w:t xml:space="preserve"> </w:t>
      </w:r>
      <w:r>
        <w:rPr>
          <w:u w:val="single"/>
        </w:rPr>
        <w:t xml:space="preserve"> </w:t>
      </w:r>
      <w:r>
        <w:rPr>
          <w:sz w:val="27"/>
        </w:rPr>
        <w:t>地址：</w:t>
      </w:r>
      <w:r>
        <w:rPr>
          <w:sz w:val="27"/>
        </w:rPr>
        <w:t xml:space="preserve"> </w:t>
      </w:r>
      <w:r>
        <w:rPr>
          <w:u w:val="single"/>
        </w:rPr>
        <w:t>　　　</w:t>
      </w:r>
      <w:r>
        <w:rPr>
          <w:u w:val="single"/>
        </w:rPr>
        <w:t xml:space="preserve"> </w:t>
      </w:r>
      <w:r>
        <w:rPr>
          <w:u w:val="single"/>
        </w:rPr>
        <w:t xml:space="preserve"> </w:t>
      </w:r>
      <w:r>
        <w:rPr>
          <w:u w:val="single"/>
        </w:rPr>
        <w:t xml:space="preserve"> </w:t>
      </w:r>
    </w:p>
    <w:p>
      <w:pPr>
        <w:pStyle w:val="null3"/>
        <w:spacing w:before="0" w:after="0"/>
        <w:ind w:left="0" w:right="0"/>
        <w:jc w:val="both"/>
      </w:pPr>
      <w:r>
        <w:rPr>
          <w:b/>
        </w:rPr>
        <w:t>乙方：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rPr>
        <w:t>电话：</w:t>
      </w:r>
      <w:r>
        <w:rPr>
          <w:sz w:val="27"/>
        </w:rPr>
        <w:t xml:space="preserve"> </w:t>
      </w:r>
      <w:r>
        <w:rPr>
          <w:u w:val="single"/>
        </w:rPr>
        <w:t>　　　　</w:t>
      </w:r>
      <w:r>
        <w:rPr>
          <w:u w:val="single"/>
        </w:rPr>
        <w:t xml:space="preserve"> </w:t>
      </w:r>
      <w:r>
        <w:rPr>
          <w:u w:val="single"/>
        </w:rPr>
        <w:t xml:space="preserve"> </w:t>
      </w:r>
      <w:r>
        <w:rPr>
          <w:u w:val="single"/>
        </w:rPr>
        <w:t xml:space="preserve"> </w:t>
      </w:r>
      <w:r>
        <w:rPr>
          <w:sz w:val="27"/>
        </w:rPr>
        <w:t>传真：</w:t>
      </w:r>
      <w:r>
        <w:rPr>
          <w:u w:val="single"/>
        </w:rPr>
        <w:t>　　　</w:t>
      </w:r>
      <w:r>
        <w:rPr>
          <w:u w:val="single"/>
        </w:rPr>
        <w:t xml:space="preserve"> </w:t>
      </w:r>
      <w:r>
        <w:rPr>
          <w:u w:val="single"/>
        </w:rPr>
        <w:t xml:space="preserve"> </w:t>
      </w:r>
      <w:r>
        <w:rPr>
          <w:u w:val="single"/>
        </w:rPr>
        <w:t xml:space="preserve"> </w:t>
      </w:r>
      <w:r>
        <w:rPr>
          <w:sz w:val="27"/>
        </w:rPr>
        <w:t>地址：</w:t>
      </w:r>
      <w:r>
        <w:rPr>
          <w:sz w:val="27"/>
        </w:rPr>
        <w:t xml:space="preserve"> </w:t>
      </w:r>
      <w:r>
        <w:rPr>
          <w:u w:val="single"/>
        </w:rPr>
        <w:t>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rPr>
        <w:t xml:space="preserve"> </w:t>
      </w:r>
    </w:p>
    <w:p>
      <w:pPr>
        <w:pStyle w:val="null3"/>
        <w:spacing w:before="0" w:after="0"/>
        <w:ind w:left="0" w:right="0"/>
        <w:jc w:val="both"/>
      </w:pPr>
      <w:r>
        <w:rPr>
          <w:sz w:val="27"/>
        </w:rPr>
        <w:t xml:space="preserve"> </w:t>
      </w:r>
      <w:r>
        <w:rPr>
          <w:sz w:val="27"/>
        </w:rPr>
        <w:t xml:space="preserve"> </w:t>
      </w:r>
    </w:p>
    <w:p>
      <w:pPr>
        <w:pStyle w:val="null3"/>
        <w:jc w:val="both"/>
      </w:pPr>
      <w:r>
        <w:rPr>
          <w:sz w:val="21"/>
        </w:rPr>
        <w:t xml:space="preserve"> </w:t>
      </w:r>
      <w:r>
        <w:rPr>
          <w:sz w:val="21"/>
        </w:rPr>
        <w:t>根据《中华人民共和国政府采购法》、《中华人民共和国民法典》等相关法律法规及                  （项目编号：        ）招标文件的要求，经双方协商，本着平等互利和诚实信用的原则，一致同意签订本合同。</w:t>
      </w:r>
    </w:p>
    <w:p>
      <w:pPr>
        <w:pStyle w:val="null3"/>
        <w:jc w:val="both"/>
      </w:pPr>
      <w:r>
        <w:rPr>
          <w:sz w:val="21"/>
        </w:rPr>
        <w:t>一、合同金额</w:t>
      </w:r>
    </w:p>
    <w:p>
      <w:pPr>
        <w:pStyle w:val="null3"/>
        <w:jc w:val="both"/>
      </w:pPr>
      <w:r>
        <w:rPr>
          <w:sz w:val="21"/>
        </w:rPr>
        <w:t>合同金额为（大写）：</w:t>
      </w:r>
      <w:r>
        <w:rPr>
          <w:sz w:val="21"/>
        </w:rPr>
        <w:t>_________________</w:t>
      </w:r>
      <w:r>
        <w:rPr>
          <w:sz w:val="21"/>
        </w:rPr>
        <w:t>元（￥</w:t>
      </w:r>
      <w:r>
        <w:rPr>
          <w:sz w:val="21"/>
        </w:rPr>
        <w:t>_______________</w:t>
      </w:r>
      <w:r>
        <w:rPr>
          <w:sz w:val="21"/>
        </w:rPr>
        <w:t>元）人民币。（包含完成本项目所需的人力成本、设备成本、利润、税金、交通等产生的任何费用，同时因国家和省级林草主管部门政策变化或技术指南更新而引起的项目调整、工作量增减及修改工作由乙方按要求完成，同时服务期可能顺延，甲方不另行支付费用。甲方将不予支付除招标文件及承包合同约定的由甲方承担的风险因素之外的任何补偿。）</w:t>
      </w:r>
    </w:p>
    <w:p>
      <w:pPr>
        <w:pStyle w:val="null3"/>
        <w:jc w:val="both"/>
      </w:pPr>
      <w:r>
        <w:rPr>
          <w:sz w:val="21"/>
        </w:rPr>
        <w:t>二、服务范围</w:t>
      </w:r>
    </w:p>
    <w:p>
      <w:pPr>
        <w:pStyle w:val="null3"/>
        <w:jc w:val="both"/>
      </w:pPr>
      <w:r>
        <w:rPr>
          <w:sz w:val="21"/>
        </w:rPr>
        <w:t>（一）项目主要内容</w:t>
      </w:r>
    </w:p>
    <w:p>
      <w:pPr>
        <w:pStyle w:val="null3"/>
        <w:jc w:val="both"/>
      </w:pPr>
      <w:r>
        <w:rPr>
          <w:sz w:val="21"/>
        </w:rPr>
        <w:t>利用信息化技术手段，以最新年度国土变更调查成果为基础，参考有关专题调查成果，基于数字正射影像图，开展图斑区划。采取遥感监测、档案更新、补充调查、现地核实等多种方法，摸清林草湿资源数量、质量、结构等情况，荒漠化沙化土地、石漠化土地的类型、面积、程度、分布、治理情况。以地类对接完成后的年度国土变更调查成果中的二级地类图斑为基础，调查并标记可造林绿化的图斑。</w:t>
      </w:r>
    </w:p>
    <w:p>
      <w:pPr>
        <w:pStyle w:val="null3"/>
        <w:jc w:val="both"/>
      </w:pPr>
      <w:r>
        <w:rPr>
          <w:sz w:val="21"/>
        </w:rPr>
        <w:t>（二）采购项目内容及要求</w:t>
      </w:r>
    </w:p>
    <w:p>
      <w:pPr>
        <w:pStyle w:val="null3"/>
        <w:jc w:val="both"/>
      </w:pPr>
      <w:r>
        <w:rPr>
          <w:sz w:val="21"/>
        </w:rPr>
        <w:t>1</w:t>
      </w:r>
      <w:r>
        <w:rPr>
          <w:sz w:val="21"/>
        </w:rPr>
        <w:t>、工作目的</w:t>
      </w:r>
    </w:p>
    <w:p>
      <w:pPr>
        <w:pStyle w:val="null3"/>
        <w:jc w:val="both"/>
      </w:pPr>
      <w:r>
        <w:rPr>
          <w:sz w:val="21"/>
        </w:rPr>
        <w:t>通过提供森林草原湿地荒漠化普查支撑软件技术服务，为高效、高质量查清广东省范围内森林草原湿地数量、质量、结构等资源及其生态状况，以及荒漠化沙化、石漠化状况及治理情况，落实林地草地湿地管理类型，评估造林种草适宜空间等工作，提供强有力的基础信息技术支撑，为进一步丰富自然资源调查成果，深化完善国土</w:t>
      </w:r>
      <w:r>
        <w:rPr>
          <w:sz w:val="21"/>
        </w:rPr>
        <w:t>“三调”一张图，明确森林草原湿地管理边界，编制“十五五”规划，支撑森林草原湿地保护发展以及荒漠化综合防治，推动林草事业高质量发展等提供基础数据。</w:t>
      </w:r>
    </w:p>
    <w:p>
      <w:pPr>
        <w:pStyle w:val="null3"/>
        <w:jc w:val="both"/>
      </w:pPr>
      <w:r>
        <w:rPr>
          <w:sz w:val="21"/>
        </w:rPr>
        <w:t>2</w:t>
      </w:r>
      <w:r>
        <w:rPr>
          <w:sz w:val="21"/>
        </w:rPr>
        <w:t>、工作依据</w:t>
      </w:r>
    </w:p>
    <w:p>
      <w:pPr>
        <w:pStyle w:val="null3"/>
        <w:jc w:val="both"/>
      </w:pPr>
      <w:r>
        <w:rPr>
          <w:sz w:val="21"/>
        </w:rPr>
        <w:t>1</w:t>
      </w:r>
      <w:r>
        <w:rPr>
          <w:sz w:val="21"/>
        </w:rPr>
        <w:t>、《国土空间调查、规划、用途管制用地用海分类指南》（自然资发〔</w:t>
      </w:r>
      <w:r>
        <w:rPr>
          <w:sz w:val="21"/>
        </w:rPr>
        <w:t>2023</w:t>
      </w:r>
      <w:r>
        <w:rPr>
          <w:sz w:val="21"/>
        </w:rPr>
        <w:t>〕</w:t>
      </w:r>
      <w:r>
        <w:rPr>
          <w:sz w:val="21"/>
        </w:rPr>
        <w:t xml:space="preserve">234 </w:t>
      </w:r>
      <w:r>
        <w:rPr>
          <w:sz w:val="21"/>
        </w:rPr>
        <w:t>号）</w:t>
      </w:r>
    </w:p>
    <w:p>
      <w:pPr>
        <w:pStyle w:val="null3"/>
        <w:jc w:val="both"/>
      </w:pPr>
      <w:r>
        <w:rPr>
          <w:sz w:val="21"/>
        </w:rPr>
        <w:t>2</w:t>
      </w:r>
      <w:r>
        <w:rPr>
          <w:sz w:val="21"/>
        </w:rPr>
        <w:t>、《全国草原监测评价工作手册（</w:t>
      </w:r>
      <w:r>
        <w:rPr>
          <w:sz w:val="21"/>
        </w:rPr>
        <w:t xml:space="preserve">2021 </w:t>
      </w:r>
      <w:r>
        <w:rPr>
          <w:sz w:val="21"/>
        </w:rPr>
        <w:t>年）》</w:t>
      </w:r>
    </w:p>
    <w:p>
      <w:pPr>
        <w:pStyle w:val="null3"/>
        <w:jc w:val="both"/>
      </w:pPr>
      <w:r>
        <w:rPr>
          <w:sz w:val="21"/>
        </w:rPr>
        <w:t>3</w:t>
      </w:r>
      <w:r>
        <w:rPr>
          <w:sz w:val="21"/>
        </w:rPr>
        <w:t>、《全国荒漠化和沙化监测技术规定（</w:t>
      </w:r>
      <w:r>
        <w:rPr>
          <w:sz w:val="21"/>
        </w:rPr>
        <w:t xml:space="preserve">2019 </w:t>
      </w:r>
      <w:r>
        <w:rPr>
          <w:sz w:val="21"/>
        </w:rPr>
        <w:t>年修订）》</w:t>
      </w:r>
    </w:p>
    <w:p>
      <w:pPr>
        <w:pStyle w:val="null3"/>
        <w:jc w:val="both"/>
      </w:pPr>
      <w:r>
        <w:rPr>
          <w:sz w:val="21"/>
        </w:rPr>
        <w:t>4</w:t>
      </w:r>
      <w:r>
        <w:rPr>
          <w:sz w:val="21"/>
        </w:rPr>
        <w:t>、《岩溶地区石漠化调查技术规定（</w:t>
      </w:r>
      <w:r>
        <w:rPr>
          <w:sz w:val="21"/>
        </w:rPr>
        <w:t xml:space="preserve">2021 </w:t>
      </w:r>
      <w:r>
        <w:rPr>
          <w:sz w:val="21"/>
        </w:rPr>
        <w:t>年修订）》</w:t>
      </w:r>
    </w:p>
    <w:p>
      <w:pPr>
        <w:pStyle w:val="null3"/>
        <w:jc w:val="both"/>
      </w:pPr>
      <w:r>
        <w:rPr>
          <w:sz w:val="21"/>
        </w:rPr>
        <w:t>5</w:t>
      </w:r>
      <w:r>
        <w:rPr>
          <w:sz w:val="21"/>
        </w:rPr>
        <w:t>、《全国森林草原湿地荒漠化普查技术方案》（试行）</w:t>
      </w:r>
    </w:p>
    <w:p>
      <w:pPr>
        <w:pStyle w:val="null3"/>
        <w:jc w:val="both"/>
      </w:pPr>
      <w:r>
        <w:rPr>
          <w:sz w:val="21"/>
        </w:rPr>
        <w:t>6</w:t>
      </w:r>
      <w:r>
        <w:rPr>
          <w:sz w:val="21"/>
        </w:rPr>
        <w:t>、《全国森林草原湿地荒漠化普查技术规程》</w:t>
      </w:r>
    </w:p>
    <w:p>
      <w:pPr>
        <w:pStyle w:val="null3"/>
        <w:jc w:val="both"/>
      </w:pPr>
      <w:r>
        <w:rPr>
          <w:sz w:val="21"/>
        </w:rPr>
        <w:t>7</w:t>
      </w:r>
      <w:r>
        <w:rPr>
          <w:sz w:val="21"/>
        </w:rPr>
        <w:t>、《全国森林草原湿地荒漠化普查工作方案》</w:t>
      </w:r>
    </w:p>
    <w:p>
      <w:pPr>
        <w:pStyle w:val="null3"/>
        <w:jc w:val="both"/>
      </w:pPr>
      <w:r>
        <w:rPr>
          <w:sz w:val="21"/>
        </w:rPr>
        <w:t>8</w:t>
      </w:r>
      <w:r>
        <w:rPr>
          <w:sz w:val="21"/>
        </w:rPr>
        <w:t>、《不一致图斑内业预判和实地认定及属性标注细则（试行）》</w:t>
      </w:r>
    </w:p>
    <w:p>
      <w:pPr>
        <w:pStyle w:val="null3"/>
        <w:jc w:val="both"/>
      </w:pPr>
      <w:r>
        <w:rPr>
          <w:sz w:val="21"/>
        </w:rPr>
        <w:t>9</w:t>
      </w:r>
      <w:r>
        <w:rPr>
          <w:sz w:val="21"/>
        </w:rPr>
        <w:t>、《土地利用现状分类》（</w:t>
      </w:r>
      <w:r>
        <w:rPr>
          <w:sz w:val="21"/>
        </w:rPr>
        <w:t>GB/T 21010-2017</w:t>
      </w:r>
      <w:r>
        <w:rPr>
          <w:sz w:val="21"/>
        </w:rPr>
        <w:t>）</w:t>
      </w:r>
    </w:p>
    <w:p>
      <w:pPr>
        <w:pStyle w:val="null3"/>
        <w:jc w:val="both"/>
      </w:pPr>
      <w:r>
        <w:rPr>
          <w:sz w:val="21"/>
        </w:rPr>
        <w:t>10</w:t>
      </w:r>
      <w:r>
        <w:rPr>
          <w:sz w:val="21"/>
        </w:rPr>
        <w:t>、《第三次全国国土调查技术规程》（</w:t>
      </w:r>
      <w:r>
        <w:rPr>
          <w:sz w:val="21"/>
        </w:rPr>
        <w:t>TD/T 1055-2019</w:t>
      </w:r>
      <w:r>
        <w:rPr>
          <w:sz w:val="21"/>
        </w:rPr>
        <w:t>）</w:t>
      </w:r>
    </w:p>
    <w:p>
      <w:pPr>
        <w:pStyle w:val="null3"/>
        <w:jc w:val="both"/>
      </w:pPr>
      <w:r>
        <w:rPr>
          <w:sz w:val="21"/>
        </w:rPr>
        <w:t>11</w:t>
      </w:r>
      <w:r>
        <w:rPr>
          <w:sz w:val="21"/>
        </w:rPr>
        <w:t>、《广东省林草湿数据与第三次全国国土调查数据对接融合操作细则》</w:t>
      </w:r>
    </w:p>
    <w:p>
      <w:pPr>
        <w:pStyle w:val="null3"/>
        <w:jc w:val="both"/>
      </w:pPr>
      <w:r>
        <w:rPr>
          <w:sz w:val="21"/>
        </w:rPr>
        <w:t>12</w:t>
      </w:r>
      <w:r>
        <w:rPr>
          <w:sz w:val="21"/>
        </w:rPr>
        <w:t>、《广东省森林资源规划设计调查操作细则》（</w:t>
      </w:r>
      <w:r>
        <w:rPr>
          <w:sz w:val="21"/>
        </w:rPr>
        <w:t>2016</w:t>
      </w:r>
      <w:r>
        <w:rPr>
          <w:sz w:val="21"/>
        </w:rPr>
        <w:t>）</w:t>
      </w:r>
    </w:p>
    <w:p>
      <w:pPr>
        <w:pStyle w:val="null3"/>
        <w:jc w:val="both"/>
      </w:pPr>
      <w:r>
        <w:rPr>
          <w:sz w:val="21"/>
        </w:rPr>
        <w:t>13</w:t>
      </w:r>
      <w:r>
        <w:rPr>
          <w:sz w:val="21"/>
        </w:rPr>
        <w:t>、《全国森林草原湿地荒漠化普查问题解答（一）》</w:t>
      </w:r>
    </w:p>
    <w:p>
      <w:pPr>
        <w:pStyle w:val="null3"/>
        <w:jc w:val="both"/>
      </w:pPr>
      <w:r>
        <w:rPr>
          <w:sz w:val="21"/>
        </w:rPr>
        <w:t>14</w:t>
      </w:r>
      <w:r>
        <w:rPr>
          <w:sz w:val="21"/>
        </w:rPr>
        <w:t>、《全国森林草原湿地荒漠化普查问题解答（二）》</w:t>
      </w:r>
    </w:p>
    <w:p>
      <w:pPr>
        <w:pStyle w:val="null3"/>
        <w:jc w:val="both"/>
      </w:pPr>
      <w:r>
        <w:rPr>
          <w:sz w:val="21"/>
        </w:rPr>
        <w:t>3</w:t>
      </w:r>
      <w:r>
        <w:rPr>
          <w:sz w:val="21"/>
        </w:rPr>
        <w:t>、工作内容</w:t>
      </w:r>
    </w:p>
    <w:p>
      <w:pPr>
        <w:pStyle w:val="null3"/>
        <w:jc w:val="both"/>
      </w:pPr>
      <w:r>
        <w:rPr>
          <w:sz w:val="21"/>
        </w:rPr>
        <w:t>针对广东省森林、草原、湿地、荒漠化综合监测任务提供产品支撑与培训、技术咨询、现场指导等专业化技术服务，包括：</w:t>
      </w:r>
      <w:r>
        <w:rPr>
          <w:sz w:val="21"/>
        </w:rPr>
        <w:t>1</w:t>
      </w:r>
      <w:r>
        <w:rPr>
          <w:sz w:val="21"/>
        </w:rPr>
        <w:t>、实现通过综合监测评价数据库自动生成符合林草湿荒普查标准字段的普查底图数据库，并且可加载参考矢量图层、本地影像和影像服务；</w:t>
      </w:r>
      <w:r>
        <w:rPr>
          <w:sz w:val="21"/>
        </w:rPr>
        <w:t>2</w:t>
      </w:r>
      <w:r>
        <w:rPr>
          <w:sz w:val="21"/>
        </w:rPr>
        <w:t>、实现利用多套相关数据库映射相关字段属性能力，并且可设定图形空间重叠比例进行字段属性映射；</w:t>
      </w:r>
      <w:r>
        <w:rPr>
          <w:sz w:val="21"/>
        </w:rPr>
        <w:t>3</w:t>
      </w:r>
      <w:r>
        <w:rPr>
          <w:sz w:val="21"/>
        </w:rPr>
        <w:t>、实现行政区域或经营范围规整能力，且能对不符合国土变更调查上图面积图斑进行规则合并；</w:t>
      </w:r>
      <w:r>
        <w:rPr>
          <w:sz w:val="21"/>
        </w:rPr>
        <w:t>4</w:t>
      </w:r>
      <w:r>
        <w:rPr>
          <w:sz w:val="21"/>
        </w:rPr>
        <w:t>、实现对图斑属性进行逻辑检查，可以对同类问题批量修改功能；</w:t>
      </w:r>
      <w:r>
        <w:rPr>
          <w:sz w:val="21"/>
        </w:rPr>
        <w:t>5</w:t>
      </w:r>
      <w:r>
        <w:rPr>
          <w:sz w:val="21"/>
        </w:rPr>
        <w:t>、实现省市县各层级实时数据汇总统计分析能力，生成林业统计表格；</w:t>
      </w:r>
      <w:r>
        <w:rPr>
          <w:sz w:val="21"/>
        </w:rPr>
        <w:t>6</w:t>
      </w:r>
      <w:r>
        <w:rPr>
          <w:sz w:val="21"/>
        </w:rPr>
        <w:t>、外业调查</w:t>
      </w:r>
      <w:r>
        <w:rPr>
          <w:sz w:val="21"/>
        </w:rPr>
        <w:t>APP</w:t>
      </w:r>
      <w:r>
        <w:rPr>
          <w:sz w:val="21"/>
        </w:rPr>
        <w:t>采集照片和数据必须符合国土变更调查要求，并与综合感知服务系统互通；</w:t>
      </w:r>
      <w:r>
        <w:rPr>
          <w:sz w:val="21"/>
        </w:rPr>
        <w:t>7</w:t>
      </w:r>
      <w:r>
        <w:rPr>
          <w:sz w:val="21"/>
        </w:rPr>
        <w:t>、统一提供软件现场培训、技术指导服务和软件升级更新服务。</w:t>
      </w:r>
    </w:p>
    <w:p>
      <w:pPr>
        <w:pStyle w:val="null3"/>
        <w:jc w:val="both"/>
      </w:pPr>
      <w:r>
        <w:rPr>
          <w:sz w:val="21"/>
        </w:rPr>
        <w:t>4</w:t>
      </w:r>
      <w:r>
        <w:rPr>
          <w:sz w:val="21"/>
        </w:rPr>
        <w:t>、提交成果</w:t>
      </w:r>
    </w:p>
    <w:p>
      <w:pPr>
        <w:pStyle w:val="null3"/>
        <w:jc w:val="both"/>
      </w:pPr>
      <w:r>
        <w:rPr>
          <w:sz w:val="21"/>
        </w:rPr>
        <w:t>1</w:t>
      </w:r>
      <w:r>
        <w:rPr>
          <w:sz w:val="21"/>
        </w:rPr>
        <w:t>、提交满足功能要求的软件；</w:t>
      </w:r>
    </w:p>
    <w:p>
      <w:pPr>
        <w:pStyle w:val="null3"/>
        <w:jc w:val="both"/>
      </w:pPr>
      <w:r>
        <w:rPr>
          <w:sz w:val="21"/>
        </w:rPr>
        <w:t>2</w:t>
      </w:r>
      <w:r>
        <w:rPr>
          <w:sz w:val="21"/>
        </w:rPr>
        <w:t>、提供软件操作手册等相关文件；</w:t>
      </w:r>
    </w:p>
    <w:p>
      <w:pPr>
        <w:pStyle w:val="null3"/>
        <w:jc w:val="both"/>
      </w:pPr>
      <w:r>
        <w:rPr>
          <w:sz w:val="21"/>
        </w:rPr>
        <w:t>3</w:t>
      </w:r>
      <w:r>
        <w:rPr>
          <w:sz w:val="21"/>
        </w:rPr>
        <w:t>、提供第三方软件检测报告；</w:t>
      </w:r>
    </w:p>
    <w:p>
      <w:pPr>
        <w:pStyle w:val="null3"/>
        <w:jc w:val="both"/>
      </w:pPr>
      <w:r>
        <w:rPr>
          <w:sz w:val="21"/>
        </w:rPr>
        <w:t>4</w:t>
      </w:r>
      <w:r>
        <w:rPr>
          <w:sz w:val="21"/>
        </w:rPr>
        <w:t>、协助甲方办理软件著作权。</w:t>
      </w:r>
    </w:p>
    <w:p>
      <w:pPr>
        <w:pStyle w:val="null3"/>
        <w:jc w:val="both"/>
      </w:pPr>
      <w:r>
        <w:rPr>
          <w:sz w:val="21"/>
        </w:rPr>
        <w:t>（三）项目实施人员要求（根据中标单位投入人员实际情况修改、补充）</w:t>
      </w:r>
    </w:p>
    <w:p>
      <w:pPr>
        <w:pStyle w:val="null3"/>
        <w:jc w:val="both"/>
      </w:pPr>
      <w:r>
        <w:rPr>
          <w:sz w:val="21"/>
        </w:rPr>
        <w:t>（</w:t>
      </w:r>
      <w:r>
        <w:rPr>
          <w:sz w:val="21"/>
        </w:rPr>
        <w:t>1</w:t>
      </w:r>
      <w:r>
        <w:rPr>
          <w:sz w:val="21"/>
        </w:rPr>
        <w:t>）为使项目按质、按量、按时及有序实施，本项目必须有一个完善且固定的项目实施小组及项目负责人，项目组成员应不少于</w:t>
      </w:r>
      <w:r>
        <w:rPr>
          <w:sz w:val="21"/>
        </w:rPr>
        <w:t>35</w:t>
      </w:r>
      <w:r>
        <w:rPr>
          <w:sz w:val="21"/>
        </w:rPr>
        <w:t>人。</w:t>
      </w:r>
    </w:p>
    <w:p>
      <w:pPr>
        <w:pStyle w:val="null3"/>
        <w:jc w:val="both"/>
      </w:pPr>
      <w:r>
        <w:rPr>
          <w:sz w:val="21"/>
        </w:rPr>
        <w:t>（</w:t>
      </w:r>
      <w:r>
        <w:rPr>
          <w:sz w:val="21"/>
        </w:rPr>
        <w:t>2</w:t>
      </w:r>
      <w:r>
        <w:rPr>
          <w:sz w:val="21"/>
        </w:rPr>
        <w:t>）在项目实施期间，未经甲方同意，乙方不得调整在投标文件中所承诺的项目实施人员，否则甲方有权终止合同，并要求乙方赔偿由此给甲方造成的全部损失。</w:t>
      </w:r>
    </w:p>
    <w:p>
      <w:pPr>
        <w:pStyle w:val="null3"/>
        <w:jc w:val="both"/>
      </w:pPr>
      <w:r>
        <w:rPr>
          <w:sz w:val="21"/>
        </w:rPr>
        <w:t>（四）后续跟踪服务要求：</w:t>
      </w:r>
    </w:p>
    <w:p>
      <w:pPr>
        <w:pStyle w:val="null3"/>
        <w:jc w:val="both"/>
      </w:pPr>
      <w:r>
        <w:rPr>
          <w:sz w:val="21"/>
        </w:rPr>
        <w:t>1.</w:t>
      </w:r>
      <w:r>
        <w:rPr>
          <w:sz w:val="21"/>
        </w:rPr>
        <w:t>售后服务要求：乙方应为甲方作技术支持。</w:t>
      </w:r>
    </w:p>
    <w:p>
      <w:pPr>
        <w:pStyle w:val="null3"/>
        <w:jc w:val="both"/>
      </w:pPr>
      <w:r>
        <w:rPr>
          <w:sz w:val="21"/>
        </w:rPr>
        <w:t>2.</w:t>
      </w:r>
      <w:r>
        <w:rPr>
          <w:sz w:val="21"/>
        </w:rPr>
        <w:t>提供标准电话技术支持（</w:t>
      </w:r>
      <w:r>
        <w:rPr>
          <w:sz w:val="21"/>
        </w:rPr>
        <w:t>5</w:t>
      </w:r>
      <w:r>
        <w:rPr>
          <w:sz w:val="21"/>
        </w:rPr>
        <w:t>×</w:t>
      </w:r>
      <w:r>
        <w:rPr>
          <w:sz w:val="21"/>
        </w:rPr>
        <w:t>8</w:t>
      </w:r>
      <w:r>
        <w:rPr>
          <w:sz w:val="21"/>
        </w:rPr>
        <w:t>小时）。对甲方的服务通知，乙方在接报后</w:t>
      </w:r>
      <w:r>
        <w:rPr>
          <w:sz w:val="21"/>
        </w:rPr>
        <w:t>30</w:t>
      </w:r>
      <w:r>
        <w:rPr>
          <w:sz w:val="21"/>
        </w:rPr>
        <w:t>分钟内响应，</w:t>
      </w:r>
      <w:r>
        <w:rPr>
          <w:sz w:val="21"/>
        </w:rPr>
        <w:t>8</w:t>
      </w:r>
      <w:r>
        <w:rPr>
          <w:sz w:val="21"/>
        </w:rPr>
        <w:t>小时内到达现场并处理完毕。若</w:t>
      </w:r>
      <w:r>
        <w:rPr>
          <w:sz w:val="21"/>
        </w:rPr>
        <w:t>8</w:t>
      </w:r>
      <w:r>
        <w:rPr>
          <w:sz w:val="21"/>
        </w:rPr>
        <w:t>小时内仍未处理完毕，乙方必须免费采取应急措施解决，不得影响甲方的正常工作业务，除特殊情况外，故障排除时间不超过</w:t>
      </w:r>
      <w:r>
        <w:rPr>
          <w:sz w:val="21"/>
        </w:rPr>
        <w:t>12</w:t>
      </w:r>
      <w:r>
        <w:rPr>
          <w:sz w:val="21"/>
        </w:rPr>
        <w:t>小时。</w:t>
      </w:r>
    </w:p>
    <w:p>
      <w:pPr>
        <w:pStyle w:val="null3"/>
        <w:jc w:val="both"/>
      </w:pPr>
      <w:r>
        <w:rPr>
          <w:sz w:val="21"/>
        </w:rPr>
        <w:t xml:space="preserve">3. </w:t>
      </w:r>
      <w:r>
        <w:rPr>
          <w:sz w:val="21"/>
        </w:rPr>
        <w:t>售后服务：软件系统质量保证期为 一 年，自项目验收合格之日起算。质量保证期内，若普查技术规程等相关要求变化导致数据库标准和生产要求更改，甲方应无条件及时更新软件；针对实际工作中遇到的问题，能够及时增加、修改、完善和升级相关功能模块。质量保证期外升级费用双方协商另议。</w:t>
      </w:r>
    </w:p>
    <w:p>
      <w:pPr>
        <w:pStyle w:val="null3"/>
        <w:jc w:val="both"/>
      </w:pPr>
      <w:r>
        <w:rPr>
          <w:sz w:val="21"/>
        </w:rPr>
        <w:t xml:space="preserve">4. </w:t>
      </w:r>
      <w:r>
        <w:rPr>
          <w:sz w:val="21"/>
        </w:rPr>
        <w:t xml:space="preserve">甲方应按招标方要求，免费完成省级集中培训 </w:t>
      </w:r>
      <w:r>
        <w:rPr>
          <w:sz w:val="21"/>
        </w:rPr>
        <w:t xml:space="preserve">2 </w:t>
      </w:r>
      <w:r>
        <w:rPr>
          <w:sz w:val="21"/>
        </w:rPr>
        <w:t>次。除集中培训之外，还应建立定期在线培训机制，通过在线视频、知识和实例库、技术咨询、网络视频等方式，实时解答各级林草湿荒普查人员在开展实际工作中遇到的疑难问题。</w:t>
      </w:r>
    </w:p>
    <w:p>
      <w:pPr>
        <w:pStyle w:val="null3"/>
        <w:jc w:val="both"/>
      </w:pPr>
      <w:r>
        <w:rPr>
          <w:sz w:val="21"/>
        </w:rPr>
        <w:t>三、甲方乙方的权利和义务</w:t>
      </w:r>
    </w:p>
    <w:p>
      <w:pPr>
        <w:pStyle w:val="null3"/>
        <w:jc w:val="both"/>
      </w:pPr>
      <w:r>
        <w:rPr>
          <w:sz w:val="21"/>
        </w:rPr>
        <w:t>（一）甲方的权利和义务</w:t>
      </w:r>
    </w:p>
    <w:p>
      <w:pPr>
        <w:pStyle w:val="null3"/>
        <w:jc w:val="both"/>
      </w:pPr>
      <w:r>
        <w:rPr>
          <w:sz w:val="21"/>
        </w:rPr>
        <w:t>1</w:t>
      </w:r>
      <w:r>
        <w:rPr>
          <w:sz w:val="21"/>
        </w:rPr>
        <w:t>、依规委托项目给乙方，并根据项目实际需要提出要求。</w:t>
      </w:r>
    </w:p>
    <w:p>
      <w:pPr>
        <w:pStyle w:val="null3"/>
        <w:jc w:val="both"/>
      </w:pPr>
      <w:r>
        <w:rPr>
          <w:sz w:val="21"/>
        </w:rPr>
        <w:t>2</w:t>
      </w:r>
      <w:r>
        <w:rPr>
          <w:sz w:val="21"/>
        </w:rPr>
        <w:t>、对乙方进行监督。</w:t>
      </w:r>
    </w:p>
    <w:p>
      <w:pPr>
        <w:pStyle w:val="null3"/>
        <w:jc w:val="both"/>
      </w:pPr>
      <w:r>
        <w:rPr>
          <w:sz w:val="21"/>
        </w:rPr>
        <w:t>3</w:t>
      </w:r>
      <w:r>
        <w:rPr>
          <w:sz w:val="21"/>
        </w:rPr>
        <w:t>、按时按量支付乙方服务费用。</w:t>
      </w:r>
    </w:p>
    <w:p>
      <w:pPr>
        <w:pStyle w:val="null3"/>
        <w:jc w:val="both"/>
      </w:pPr>
      <w:r>
        <w:rPr>
          <w:sz w:val="21"/>
        </w:rPr>
        <w:t>（二）</w:t>
      </w:r>
      <w:r>
        <w:rPr>
          <w:sz w:val="21"/>
        </w:rPr>
        <w:t>乙方的权利和义务</w:t>
      </w:r>
    </w:p>
    <w:p>
      <w:pPr>
        <w:pStyle w:val="null3"/>
        <w:jc w:val="both"/>
      </w:pPr>
      <w:r>
        <w:rPr>
          <w:sz w:val="21"/>
        </w:rPr>
        <w:t>1</w:t>
      </w:r>
      <w:r>
        <w:rPr>
          <w:sz w:val="21"/>
        </w:rPr>
        <w:t>、接受甲方的项目委托，并根据项目任务书的内容和甲方要求按时按质按量完成委托。</w:t>
      </w:r>
    </w:p>
    <w:p>
      <w:pPr>
        <w:pStyle w:val="null3"/>
        <w:jc w:val="both"/>
      </w:pPr>
      <w:r>
        <w:rPr>
          <w:sz w:val="21"/>
        </w:rPr>
        <w:t>2</w:t>
      </w:r>
      <w:r>
        <w:rPr>
          <w:sz w:val="21"/>
        </w:rPr>
        <w:t>、乙方必须积极配合甲方开展委托的项目的相关工作，接受甲方的监督。</w:t>
      </w:r>
    </w:p>
    <w:p>
      <w:pPr>
        <w:pStyle w:val="null3"/>
        <w:jc w:val="both"/>
      </w:pPr>
      <w:r>
        <w:rPr>
          <w:sz w:val="21"/>
        </w:rPr>
        <w:t>3</w:t>
      </w:r>
      <w:r>
        <w:rPr>
          <w:sz w:val="21"/>
        </w:rPr>
        <w:t>、乙方按规定获得服务费用。</w:t>
      </w:r>
    </w:p>
    <w:p>
      <w:pPr>
        <w:pStyle w:val="null3"/>
        <w:jc w:val="both"/>
      </w:pPr>
      <w:r>
        <w:rPr>
          <w:sz w:val="21"/>
        </w:rPr>
        <w:t>四、服务期及服务地点</w:t>
      </w:r>
    </w:p>
    <w:p>
      <w:pPr>
        <w:pStyle w:val="null3"/>
        <w:jc w:val="both"/>
      </w:pPr>
      <w:r>
        <w:rPr>
          <w:sz w:val="21"/>
        </w:rPr>
        <w:t>1</w:t>
      </w:r>
      <w:r>
        <w:rPr>
          <w:sz w:val="21"/>
        </w:rPr>
        <w:t>、服务期：</w:t>
      </w:r>
      <w:r>
        <w:rPr>
          <w:sz w:val="21"/>
        </w:rPr>
        <w:t>2024</w:t>
      </w:r>
      <w:r>
        <w:rPr>
          <w:sz w:val="21"/>
        </w:rPr>
        <w:t>年</w:t>
      </w:r>
      <w:r>
        <w:rPr>
          <w:sz w:val="21"/>
        </w:rPr>
        <w:t>12</w:t>
      </w:r>
      <w:r>
        <w:rPr>
          <w:sz w:val="21"/>
        </w:rPr>
        <w:t>月底前提交提供满足广东省林草湿荒普查技术要求的软件和第三方软件检测报告。</w:t>
      </w:r>
    </w:p>
    <w:p>
      <w:pPr>
        <w:pStyle w:val="null3"/>
        <w:jc w:val="both"/>
      </w:pPr>
      <w:r>
        <w:rPr>
          <w:sz w:val="21"/>
        </w:rPr>
        <w:t>2</w:t>
      </w:r>
      <w:r>
        <w:rPr>
          <w:sz w:val="21"/>
        </w:rPr>
        <w:t>、服务地点：广东省</w:t>
      </w:r>
    </w:p>
    <w:p>
      <w:pPr>
        <w:pStyle w:val="null3"/>
        <w:jc w:val="both"/>
      </w:pPr>
      <w:r>
        <w:rPr>
          <w:sz w:val="21"/>
        </w:rPr>
        <w:t>五、付款方式</w:t>
      </w:r>
    </w:p>
    <w:p>
      <w:pPr>
        <w:pStyle w:val="null3"/>
        <w:jc w:val="both"/>
      </w:pPr>
      <w:r>
        <w:rPr>
          <w:sz w:val="21"/>
        </w:rPr>
        <w:t>1</w:t>
      </w:r>
      <w:r>
        <w:rPr>
          <w:sz w:val="21"/>
        </w:rPr>
        <w:t>期：支付比例</w:t>
      </w:r>
      <w:r>
        <w:rPr>
          <w:sz w:val="21"/>
        </w:rPr>
        <w:t>70%</w:t>
      </w:r>
      <w:r>
        <w:rPr>
          <w:sz w:val="21"/>
        </w:rPr>
        <w:t>，签订合同后</w:t>
      </w:r>
      <w:r>
        <w:rPr>
          <w:sz w:val="21"/>
        </w:rPr>
        <w:t>15</w:t>
      </w:r>
      <w:r>
        <w:rPr>
          <w:sz w:val="21"/>
        </w:rPr>
        <w:t>个工作日内甲方支付合同总金额的</w:t>
      </w:r>
      <w:r>
        <w:rPr>
          <w:sz w:val="21"/>
        </w:rPr>
        <w:t>70%</w:t>
      </w:r>
      <w:r>
        <w:rPr>
          <w:sz w:val="21"/>
        </w:rPr>
        <w:t>；</w:t>
      </w:r>
    </w:p>
    <w:p>
      <w:pPr>
        <w:pStyle w:val="null3"/>
        <w:jc w:val="both"/>
      </w:pPr>
      <w:r>
        <w:rPr>
          <w:sz w:val="21"/>
        </w:rPr>
        <w:t>2</w:t>
      </w:r>
      <w:r>
        <w:rPr>
          <w:sz w:val="21"/>
        </w:rPr>
        <w:t>期：支付比例</w:t>
      </w:r>
      <w:r>
        <w:rPr>
          <w:sz w:val="21"/>
        </w:rPr>
        <w:t>20%</w:t>
      </w:r>
      <w:r>
        <w:rPr>
          <w:sz w:val="21"/>
        </w:rPr>
        <w:t>，提供软件业务系统试运行后</w:t>
      </w:r>
      <w:r>
        <w:rPr>
          <w:sz w:val="21"/>
        </w:rPr>
        <w:t>15</w:t>
      </w:r>
      <w:r>
        <w:rPr>
          <w:sz w:val="21"/>
        </w:rPr>
        <w:t>个工作日内支付合同总金额的</w:t>
      </w:r>
      <w:r>
        <w:rPr>
          <w:sz w:val="21"/>
        </w:rPr>
        <w:t>20%</w:t>
      </w:r>
      <w:r>
        <w:rPr>
          <w:sz w:val="21"/>
        </w:rPr>
        <w:t>；</w:t>
      </w:r>
    </w:p>
    <w:p>
      <w:pPr>
        <w:pStyle w:val="null3"/>
        <w:jc w:val="both"/>
      </w:pPr>
      <w:r>
        <w:rPr>
          <w:sz w:val="21"/>
        </w:rPr>
        <w:t>3</w:t>
      </w:r>
      <w:r>
        <w:rPr>
          <w:sz w:val="21"/>
        </w:rPr>
        <w:t>期：支付比例</w:t>
      </w:r>
      <w:r>
        <w:rPr>
          <w:sz w:val="21"/>
        </w:rPr>
        <w:t>10%</w:t>
      </w:r>
      <w:r>
        <w:rPr>
          <w:sz w:val="21"/>
        </w:rPr>
        <w:t>，经甲方验收合格后</w:t>
      </w:r>
      <w:r>
        <w:rPr>
          <w:sz w:val="21"/>
        </w:rPr>
        <w:t>15</w:t>
      </w:r>
      <w:r>
        <w:rPr>
          <w:sz w:val="21"/>
        </w:rPr>
        <w:t>个工作日内，支付合同总金额的</w:t>
      </w:r>
      <w:r>
        <w:rPr>
          <w:sz w:val="21"/>
        </w:rPr>
        <w:t>10%</w:t>
      </w:r>
      <w:r>
        <w:rPr>
          <w:sz w:val="21"/>
        </w:rPr>
        <w:t>。</w:t>
      </w:r>
    </w:p>
    <w:p>
      <w:pPr>
        <w:pStyle w:val="null3"/>
        <w:jc w:val="both"/>
      </w:pPr>
      <w:r>
        <w:rPr>
          <w:sz w:val="21"/>
        </w:rPr>
        <w:t>注：乙方凭以下有效文件与甲方结算：</w:t>
      </w:r>
    </w:p>
    <w:p>
      <w:pPr>
        <w:pStyle w:val="null3"/>
        <w:jc w:val="both"/>
      </w:pPr>
      <w:r>
        <w:rPr>
          <w:sz w:val="21"/>
        </w:rPr>
        <w:t>（</w:t>
      </w:r>
      <w:r>
        <w:rPr>
          <w:sz w:val="21"/>
        </w:rPr>
        <w:t>1</w:t>
      </w:r>
      <w:r>
        <w:rPr>
          <w:sz w:val="21"/>
        </w:rPr>
        <w:t>）合同；</w:t>
      </w:r>
    </w:p>
    <w:p>
      <w:pPr>
        <w:pStyle w:val="null3"/>
        <w:jc w:val="both"/>
      </w:pPr>
      <w:r>
        <w:rPr>
          <w:sz w:val="21"/>
        </w:rPr>
        <w:t>（</w:t>
      </w:r>
      <w:r>
        <w:rPr>
          <w:sz w:val="21"/>
        </w:rPr>
        <w:t>2</w:t>
      </w:r>
      <w:r>
        <w:rPr>
          <w:sz w:val="21"/>
        </w:rPr>
        <w:t>）乙方开具的正式发票；</w:t>
      </w:r>
    </w:p>
    <w:p>
      <w:pPr>
        <w:pStyle w:val="null3"/>
        <w:jc w:val="both"/>
      </w:pPr>
      <w:r>
        <w:rPr>
          <w:sz w:val="21"/>
        </w:rPr>
        <w:t>（</w:t>
      </w:r>
      <w:r>
        <w:rPr>
          <w:sz w:val="21"/>
        </w:rPr>
        <w:t>3</w:t>
      </w:r>
      <w:r>
        <w:rPr>
          <w:sz w:val="21"/>
        </w:rPr>
        <w:t>）中标通知书。</w:t>
      </w:r>
    </w:p>
    <w:p>
      <w:pPr>
        <w:pStyle w:val="null3"/>
        <w:jc w:val="both"/>
      </w:pPr>
      <w:r>
        <w:rPr>
          <w:sz w:val="21"/>
        </w:rPr>
        <w:t>因甲方使用的是财政资金，甲方在前款规定的付款时间为向政府采购支付部门提出办理财政支付申请手续的时间（不含政府财政支付部门审核的时间），在规定时间内提出支付申请手续后即视为甲方已经按期支付。</w:t>
      </w:r>
    </w:p>
    <w:p>
      <w:pPr>
        <w:pStyle w:val="null3"/>
        <w:jc w:val="both"/>
      </w:pPr>
      <w:r>
        <w:rPr>
          <w:sz w:val="21"/>
        </w:rPr>
        <w:t>六、验收要求</w:t>
      </w:r>
    </w:p>
    <w:p>
      <w:pPr>
        <w:pStyle w:val="null3"/>
        <w:jc w:val="both"/>
      </w:pPr>
      <w:r>
        <w:rPr>
          <w:sz w:val="21"/>
        </w:rPr>
        <w:t>1.</w:t>
      </w:r>
      <w:r>
        <w:rPr>
          <w:sz w:val="21"/>
        </w:rPr>
        <w:t>软件的功能符合国家林草湿荒普查技术要求；</w:t>
      </w:r>
    </w:p>
    <w:p>
      <w:pPr>
        <w:pStyle w:val="null3"/>
        <w:jc w:val="both"/>
      </w:pPr>
      <w:r>
        <w:rPr>
          <w:sz w:val="21"/>
        </w:rPr>
        <w:t>2.</w:t>
      </w:r>
      <w:r>
        <w:rPr>
          <w:sz w:val="21"/>
        </w:rPr>
        <w:t>软件的功能满足省市县级普查工作要求；</w:t>
      </w:r>
    </w:p>
    <w:p>
      <w:pPr>
        <w:pStyle w:val="null3"/>
        <w:jc w:val="both"/>
      </w:pPr>
      <w:r>
        <w:rPr>
          <w:sz w:val="21"/>
        </w:rPr>
        <w:t>3.</w:t>
      </w:r>
      <w:r>
        <w:rPr>
          <w:sz w:val="21"/>
        </w:rPr>
        <w:t>软件运行稳定可靠，无明显缺陷和错误；</w:t>
      </w:r>
    </w:p>
    <w:p>
      <w:pPr>
        <w:pStyle w:val="null3"/>
        <w:jc w:val="both"/>
      </w:pPr>
      <w:r>
        <w:rPr>
          <w:sz w:val="21"/>
        </w:rPr>
        <w:t>4.</w:t>
      </w:r>
      <w:r>
        <w:rPr>
          <w:sz w:val="21"/>
        </w:rPr>
        <w:t>软件文档齐全，包括但不限于用户手册、操作指南等；</w:t>
      </w:r>
    </w:p>
    <w:p>
      <w:pPr>
        <w:pStyle w:val="null3"/>
        <w:jc w:val="both"/>
      </w:pPr>
      <w:r>
        <w:rPr>
          <w:sz w:val="21"/>
        </w:rPr>
        <w:t>5.</w:t>
      </w:r>
      <w:r>
        <w:rPr>
          <w:sz w:val="21"/>
        </w:rPr>
        <w:t>第三方软件检测报告。</w:t>
      </w:r>
    </w:p>
    <w:p>
      <w:pPr>
        <w:pStyle w:val="null3"/>
        <w:jc w:val="both"/>
      </w:pPr>
      <w:r>
        <w:rPr>
          <w:sz w:val="21"/>
        </w:rPr>
        <w:t>七、知识产权归属</w:t>
      </w:r>
    </w:p>
    <w:p>
      <w:pPr>
        <w:pStyle w:val="null3"/>
        <w:jc w:val="both"/>
      </w:pPr>
      <w:r>
        <w:rPr>
          <w:sz w:val="21"/>
        </w:rPr>
        <w:t>乙方必须保证甲方在中华人民共和国境内使用投标资料、服务或其任何一部分时，享有不受限制的无偿使用权，不会产生因第三方提出侵犯其专利权、商标权或其它知识产权而引起的法律或经济纠纷，甲方拥有软件注册和用户注册审批权限。</w:t>
      </w:r>
    </w:p>
    <w:p>
      <w:pPr>
        <w:pStyle w:val="null3"/>
        <w:jc w:val="both"/>
      </w:pPr>
      <w:r>
        <w:rPr>
          <w:sz w:val="21"/>
        </w:rPr>
        <w:t>八、保密</w:t>
      </w:r>
    </w:p>
    <w:p>
      <w:pPr>
        <w:pStyle w:val="null3"/>
        <w:jc w:val="both"/>
      </w:pPr>
      <w:r>
        <w:rPr>
          <w:sz w:val="21"/>
        </w:rPr>
        <w:t>1</w:t>
      </w:r>
      <w:r>
        <w:rPr>
          <w:sz w:val="21"/>
        </w:rPr>
        <w:t>、项目实施服务过程中至乙方正式向甲方交付技术文档资料时止，乙方必须采取措施对本项目实施过程中的数据、技术文档等资料保密，否则，由于乙方过错导致的上述资料泄密的，乙方必须承担一切责任。项目完成后，甲、乙双方均有责任对本项目的技术保密承担责任。</w:t>
      </w:r>
    </w:p>
    <w:p>
      <w:pPr>
        <w:pStyle w:val="null3"/>
        <w:jc w:val="both"/>
      </w:pPr>
      <w:r>
        <w:rPr>
          <w:sz w:val="21"/>
        </w:rPr>
        <w:t>2</w:t>
      </w:r>
      <w:r>
        <w:rPr>
          <w:sz w:val="21"/>
        </w:rPr>
        <w:t>、未经乙方事先书面同意，甲方不得将由乙方为本合同提供的资料提供给与本合同无关的任何第三方，不得将其用于履行本合同之外的其它用途。即使向与履行本合同有关的人员提供，也应注意保密并限于履行合同所必需的范围。</w:t>
      </w:r>
    </w:p>
    <w:p>
      <w:pPr>
        <w:pStyle w:val="null3"/>
        <w:jc w:val="both"/>
      </w:pPr>
      <w:r>
        <w:rPr>
          <w:sz w:val="21"/>
        </w:rPr>
        <w:t>九、违约责任与赔偿损失</w:t>
      </w:r>
    </w:p>
    <w:p>
      <w:pPr>
        <w:pStyle w:val="null3"/>
        <w:jc w:val="both"/>
      </w:pPr>
      <w:r>
        <w:rPr>
          <w:sz w:val="21"/>
        </w:rPr>
        <w:t>1</w:t>
      </w:r>
      <w:r>
        <w:rPr>
          <w:sz w:val="21"/>
        </w:rPr>
        <w:t>、乙方提供的服务不符合招标文件、投标文件或本合同规定的，甲方有权拒收，并且乙方须向甲方支付本合同总价</w:t>
      </w:r>
      <w:r>
        <w:rPr>
          <w:sz w:val="21"/>
        </w:rPr>
        <w:t>5%</w:t>
      </w:r>
      <w:r>
        <w:rPr>
          <w:sz w:val="21"/>
        </w:rPr>
        <w:t>的违约金。</w:t>
      </w:r>
    </w:p>
    <w:p>
      <w:pPr>
        <w:pStyle w:val="null3"/>
        <w:jc w:val="both"/>
      </w:pPr>
      <w:r>
        <w:rPr>
          <w:sz w:val="21"/>
        </w:rPr>
        <w:t>2</w:t>
      </w:r>
      <w:r>
        <w:rPr>
          <w:sz w:val="21"/>
        </w:rPr>
        <w:t>、乙方未能按本合同规定的交货时间提供服务，从逾期之日起每日按本合同总价</w:t>
      </w:r>
      <w:r>
        <w:rPr>
          <w:sz w:val="21"/>
        </w:rPr>
        <w:t>3</w:t>
      </w:r>
      <w:r>
        <w:rPr>
          <w:sz w:val="21"/>
        </w:rPr>
        <w:t>‰的数额向甲方支付违约金；逾期半个月以上的，甲方有权终止合同，由此造成的甲方经济损失由乙方承担。</w:t>
      </w:r>
    </w:p>
    <w:p>
      <w:pPr>
        <w:pStyle w:val="null3"/>
        <w:jc w:val="both"/>
      </w:pPr>
      <w:r>
        <w:rPr>
          <w:sz w:val="21"/>
        </w:rPr>
        <w:t>3</w:t>
      </w:r>
      <w:r>
        <w:rPr>
          <w:sz w:val="21"/>
        </w:rPr>
        <w:t>、甲方无正当理由拒收接受服务，到期拒付服务款项的，甲方向乙方偿付本合同总的</w:t>
      </w:r>
      <w:r>
        <w:rPr>
          <w:sz w:val="21"/>
        </w:rPr>
        <w:t>5%</w:t>
      </w:r>
      <w:r>
        <w:rPr>
          <w:sz w:val="21"/>
        </w:rPr>
        <w:t>的违约金。甲方人逾期付款，则每日按本合同总价的</w:t>
      </w:r>
      <w:r>
        <w:rPr>
          <w:sz w:val="21"/>
        </w:rPr>
        <w:t>3</w:t>
      </w:r>
      <w:r>
        <w:rPr>
          <w:sz w:val="21"/>
        </w:rPr>
        <w:t>‰向乙方偿付违约金。</w:t>
      </w:r>
    </w:p>
    <w:p>
      <w:pPr>
        <w:pStyle w:val="null3"/>
        <w:jc w:val="both"/>
      </w:pPr>
      <w:r>
        <w:rPr>
          <w:sz w:val="21"/>
        </w:rPr>
        <w:t>4</w:t>
      </w:r>
      <w:r>
        <w:rPr>
          <w:sz w:val="21"/>
        </w:rPr>
        <w:t>、其它违约责任按《中华人民共和国民法典》处理。</w:t>
      </w:r>
    </w:p>
    <w:p>
      <w:pPr>
        <w:pStyle w:val="null3"/>
        <w:jc w:val="both"/>
      </w:pPr>
      <w:r>
        <w:rPr>
          <w:sz w:val="21"/>
        </w:rPr>
        <w:t>十、争端的解决</w:t>
      </w:r>
    </w:p>
    <w:p>
      <w:pPr>
        <w:pStyle w:val="null3"/>
        <w:jc w:val="both"/>
      </w:pPr>
      <w:r>
        <w:rPr>
          <w:sz w:val="21"/>
        </w:rPr>
        <w:t>合同执行过程中发生的任何争议，如双方不能通过友好协商解决，按相关法律法规处理。</w:t>
      </w:r>
    </w:p>
    <w:p>
      <w:pPr>
        <w:pStyle w:val="null3"/>
        <w:jc w:val="both"/>
      </w:pPr>
      <w:r>
        <w:rPr>
          <w:sz w:val="21"/>
        </w:rPr>
        <w:t>十一、不可抗力：</w:t>
      </w:r>
    </w:p>
    <w:p>
      <w:pPr>
        <w:pStyle w:val="null3"/>
        <w:jc w:val="both"/>
      </w:pPr>
      <w:r>
        <w:rPr>
          <w:sz w:val="21"/>
        </w:rPr>
        <w:t>任何一方由于不可抗力原因不能履行合同时，应在不可抗力事件结束后</w:t>
      </w:r>
      <w:r>
        <w:rPr>
          <w:sz w:val="21"/>
        </w:rPr>
        <w:t>1</w:t>
      </w:r>
      <w:r>
        <w:rPr>
          <w:sz w:val="21"/>
        </w:rPr>
        <w:t>日内向对方通报，以减轻可能给对方造成的损失，在取得有关机构的不可抗力证明或双方谅解确认后，允许延期履行或修订合同，并根据情况可部分或全部免于承担违约责任。</w:t>
      </w:r>
    </w:p>
    <w:p>
      <w:pPr>
        <w:pStyle w:val="null3"/>
        <w:jc w:val="both"/>
      </w:pPr>
      <w:r>
        <w:rPr>
          <w:sz w:val="21"/>
        </w:rPr>
        <w:t>十二、税费：</w:t>
      </w:r>
    </w:p>
    <w:p>
      <w:pPr>
        <w:pStyle w:val="null3"/>
        <w:jc w:val="both"/>
      </w:pPr>
      <w:r>
        <w:rPr>
          <w:sz w:val="21"/>
        </w:rPr>
        <w:t xml:space="preserve">   </w:t>
      </w:r>
      <w:r>
        <w:rPr>
          <w:sz w:val="21"/>
        </w:rPr>
        <w:t>在中国境内、外发生的与本合同执行有关的一切税费均由乙方负担。</w:t>
      </w:r>
    </w:p>
    <w:p>
      <w:pPr>
        <w:pStyle w:val="null3"/>
        <w:jc w:val="both"/>
      </w:pPr>
      <w:r>
        <w:rPr>
          <w:sz w:val="21"/>
        </w:rPr>
        <w:t>十三、其它</w:t>
      </w:r>
    </w:p>
    <w:p>
      <w:pPr>
        <w:pStyle w:val="null3"/>
        <w:jc w:val="both"/>
      </w:pPr>
      <w:r>
        <w:rPr>
          <w:sz w:val="21"/>
        </w:rPr>
        <w:t>1</w:t>
      </w:r>
      <w:r>
        <w:rPr>
          <w:sz w:val="21"/>
        </w:rPr>
        <w:t>、本合同所有附件、招标文件、投标文件、中标通知书均为合同的有效组成部分，与本合同具有同等法律效力。</w:t>
      </w:r>
    </w:p>
    <w:p>
      <w:pPr>
        <w:pStyle w:val="null3"/>
        <w:jc w:val="both"/>
      </w:pPr>
      <w:r>
        <w:rPr>
          <w:sz w:val="21"/>
        </w:rPr>
        <w:t>2</w:t>
      </w:r>
      <w:r>
        <w:rPr>
          <w:sz w:val="21"/>
        </w:rPr>
        <w:t>、在执行本合同的过程中，所有经双方签署确认的文件（包括会议纪要、补充协议、往来信函）即成为本合同的有效组成部分。</w:t>
      </w:r>
    </w:p>
    <w:p>
      <w:pPr>
        <w:pStyle w:val="null3"/>
        <w:jc w:val="both"/>
      </w:pPr>
      <w:r>
        <w:rPr>
          <w:sz w:val="21"/>
        </w:rPr>
        <w:t>3</w:t>
      </w:r>
      <w:r>
        <w:rPr>
          <w:sz w:val="21"/>
        </w:rPr>
        <w:t>、如一方地址、电话、传真号码有变更，应在变更当日内书面通知对方，否则，应承担相应责任。</w:t>
      </w:r>
    </w:p>
    <w:p>
      <w:pPr>
        <w:pStyle w:val="null3"/>
        <w:jc w:val="both"/>
      </w:pPr>
      <w:r>
        <w:rPr>
          <w:sz w:val="21"/>
        </w:rPr>
        <w:t>十四、合同生效：</w:t>
      </w:r>
    </w:p>
    <w:p>
      <w:pPr>
        <w:pStyle w:val="null3"/>
        <w:jc w:val="both"/>
      </w:pPr>
      <w:r>
        <w:rPr>
          <w:sz w:val="21"/>
        </w:rPr>
        <w:t>1</w:t>
      </w:r>
      <w:r>
        <w:rPr>
          <w:sz w:val="21"/>
        </w:rPr>
        <w:t>、本合同在甲乙双方法人代表或其授权代表签字盖章后生效。</w:t>
      </w:r>
    </w:p>
    <w:p>
      <w:pPr>
        <w:pStyle w:val="null3"/>
        <w:jc w:val="both"/>
      </w:pPr>
      <w:r>
        <w:rPr>
          <w:sz w:val="21"/>
        </w:rPr>
        <w:t>2</w:t>
      </w:r>
      <w:r>
        <w:rPr>
          <w:sz w:val="21"/>
        </w:rPr>
        <w:t>、合同一式    份，甲、乙双方各执    份，采购代理机构    份。</w:t>
      </w:r>
    </w:p>
    <w:p>
      <w:pPr>
        <w:pStyle w:val="null3"/>
        <w:jc w:val="both"/>
      </w:pPr>
      <w:r>
        <w:rPr>
          <w:sz w:val="21"/>
        </w:rPr>
        <w:t>甲方（盖章）：</w:t>
      </w:r>
      <w:r>
        <w:rPr>
          <w:sz w:val="21"/>
        </w:rPr>
        <w:t xml:space="preserve">                          </w:t>
      </w:r>
      <w:r>
        <w:rPr>
          <w:sz w:val="21"/>
        </w:rPr>
        <w:t>乙方（盖章）：</w:t>
      </w:r>
    </w:p>
    <w:p>
      <w:pPr>
        <w:pStyle w:val="null3"/>
        <w:jc w:val="both"/>
      </w:pPr>
      <w:r>
        <w:rPr>
          <w:sz w:val="21"/>
        </w:rPr>
        <w:t>代表：</w:t>
      </w:r>
      <w:r>
        <w:rPr>
          <w:sz w:val="21"/>
        </w:rPr>
        <w:t xml:space="preserve">                                  </w:t>
      </w:r>
      <w:r>
        <w:rPr>
          <w:sz w:val="21"/>
        </w:rPr>
        <w:t>代表：</w:t>
      </w:r>
    </w:p>
    <w:p>
      <w:pPr>
        <w:pStyle w:val="null3"/>
        <w:jc w:val="both"/>
      </w:pPr>
      <w:r>
        <w:rPr>
          <w:sz w:val="21"/>
        </w:rPr>
        <w:t>签订地点：</w:t>
      </w:r>
    </w:p>
    <w:p>
      <w:pPr>
        <w:pStyle w:val="null3"/>
        <w:jc w:val="both"/>
      </w:pPr>
      <w:r>
        <w:rPr>
          <w:sz w:val="21"/>
        </w:rPr>
        <w:t>签订日期：</w:t>
      </w:r>
      <w:r>
        <w:rPr>
          <w:sz w:val="21"/>
        </w:rPr>
        <w:t xml:space="preserve">     </w:t>
      </w:r>
      <w:r>
        <w:rPr>
          <w:sz w:val="21"/>
        </w:rPr>
        <w:t>年</w:t>
      </w:r>
      <w:r>
        <w:rPr>
          <w:sz w:val="21"/>
        </w:rPr>
        <w:t xml:space="preserve">     </w:t>
      </w:r>
      <w:r>
        <w:rPr>
          <w:sz w:val="21"/>
        </w:rPr>
        <w:t>月</w:t>
      </w:r>
      <w:r>
        <w:rPr>
          <w:sz w:val="21"/>
        </w:rPr>
        <w:t xml:space="preserve">    </w:t>
      </w:r>
      <w:r>
        <w:rPr>
          <w:sz w:val="21"/>
        </w:rPr>
        <w:t>日</w:t>
      </w:r>
      <w:r>
        <w:rPr>
          <w:sz w:val="21"/>
        </w:rPr>
        <w:t xml:space="preserve">          </w:t>
      </w:r>
      <w:r>
        <w:rPr>
          <w:sz w:val="21"/>
        </w:rPr>
        <w:t>签订日期：</w:t>
      </w:r>
      <w:r>
        <w:rPr>
          <w:sz w:val="21"/>
        </w:rPr>
        <w:t xml:space="preserve">  </w:t>
      </w:r>
      <w:r>
        <w:rPr>
          <w:sz w:val="21"/>
        </w:rPr>
        <w:t>年</w:t>
      </w:r>
      <w:r>
        <w:rPr>
          <w:sz w:val="21"/>
        </w:rPr>
        <w:t xml:space="preserve">     </w:t>
      </w:r>
      <w:r>
        <w:rPr>
          <w:sz w:val="21"/>
        </w:rPr>
        <w:t>月</w:t>
      </w:r>
      <w:r>
        <w:rPr>
          <w:sz w:val="21"/>
        </w:rPr>
        <w:t xml:space="preserve">     </w:t>
      </w:r>
      <w:r>
        <w:rPr>
          <w:sz w:val="21"/>
        </w:rPr>
        <w:t>日</w:t>
      </w:r>
      <w:r>
        <w:rPr>
          <w:sz w:val="21"/>
        </w:rPr>
        <w:t xml:space="preserve">    </w:t>
      </w:r>
    </w:p>
    <w:p>
      <w:pPr>
        <w:pStyle w:val="null3"/>
        <w:ind w:firstLine="4200"/>
        <w:jc w:val="both"/>
      </w:pPr>
      <w:r>
        <w:rPr>
          <w:sz w:val="21"/>
        </w:rPr>
        <w:t>开户名称：</w:t>
      </w:r>
    </w:p>
    <w:p>
      <w:pPr>
        <w:pStyle w:val="null3"/>
        <w:ind w:firstLine="4200"/>
        <w:jc w:val="both"/>
      </w:pPr>
      <w:r>
        <w:rPr>
          <w:sz w:val="21"/>
        </w:rPr>
        <w:t>银行账号：</w:t>
      </w:r>
    </w:p>
    <w:p>
      <w:pPr>
        <w:pStyle w:val="null3"/>
        <w:ind w:firstLine="4200"/>
        <w:jc w:val="both"/>
      </w:pPr>
      <w:r>
        <w:rPr>
          <w:sz w:val="21"/>
        </w:rPr>
        <w:t>开</w:t>
      </w:r>
      <w:r>
        <w:rPr>
          <w:sz w:val="21"/>
        </w:rPr>
        <w:t>户</w:t>
      </w:r>
      <w:r>
        <w:rPr>
          <w:sz w:val="21"/>
        </w:rPr>
        <w:t>行：</w:t>
      </w:r>
    </w:p>
    <w:p>
      <w:pPr>
        <w:pStyle w:val="null3"/>
        <w:jc w:val="both"/>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440001-2024-41879</w:t>
      </w:r>
    </w:p>
    <w:p>
      <w:pPr>
        <w:pStyle w:val="null3"/>
        <w:jc w:val="center"/>
        <w:outlineLvl w:val="3"/>
      </w:pPr>
      <w:r>
        <w:rPr>
          <w:sz w:val="24"/>
          <w:b/>
        </w:rPr>
        <w:t>采购项目编号：</w:t>
      </w:r>
      <w:r>
        <w:rPr>
          <w:sz w:val="24"/>
          <w:b/>
        </w:rPr>
        <w:t>0877-24GZTP1ZC0663</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广东省森林草原湿地荒漠化普查支撑软件技术服务项目</w:t>
      </w:r>
      <w:r>
        <w:rPr>
          <w:u w:val="single"/>
        </w:rPr>
        <w:t>”</w:t>
      </w:r>
      <w:r>
        <w:rPr/>
        <w:t>项目的招标[采购项目编号为：</w:t>
      </w:r>
      <w:r>
        <w:rPr>
          <w:u w:val="single"/>
        </w:rPr>
        <w:t>0877-24GZTP1ZC0663</w:t>
      </w:r>
      <w:r>
        <w:rPr/>
        <w:t>]，我方愿参与投标。</w:t>
      </w:r>
    </w:p>
    <w:p>
      <w:pPr>
        <w:pStyle w:val="null3"/>
        <w:ind w:firstLine="480"/>
      </w:pPr>
      <w:r>
        <w:rPr/>
        <w:t>我方确认收到贵方提供的</w:t>
      </w:r>
      <w:r>
        <w:rPr>
          <w:u w:val="single"/>
        </w:rPr>
        <w:t>“</w:t>
      </w:r>
      <w:r>
        <w:rPr>
          <w:u w:val="single"/>
        </w:rPr>
        <w:t>广东省森林草原湿地荒漠化普查支撑软件技术服务项目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广东省森林草原湿地荒漠化普查支撑软件技术服务项目</w:t>
      </w:r>
      <w:r>
        <w:rPr/>
        <w:t>”项目采购[采购项目编号为</w:t>
      </w:r>
      <w:r>
        <w:rPr/>
        <w:t>0877-24GZTP1ZC0663</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广东省林业调查规划院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广东省森林草原湿地荒漠化普查支撑软件技术服务项目</w:t>
      </w:r>
      <w:r>
        <w:rPr/>
        <w:t>招标中获中标（采购项目编号：</w:t>
      </w:r>
      <w:r>
        <w:rPr/>
        <w:t>0877-24GZTP1ZC0663</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广东省森林草原湿地荒漠化普查支撑软件技术服务项目</w:t>
      </w:r>
      <w:r>
        <w:rPr/>
        <w:t>”项目（采购项目编号：</w:t>
      </w:r>
      <w:r>
        <w:rPr/>
        <w:t>0877-24GZTP1ZC0663</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