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440001-2025-08391</w:t>
      </w:r>
    </w:p>
    <w:p>
      <w:pPr>
        <w:pStyle w:val="null3"/>
        <w:jc w:val="center"/>
        <w:outlineLvl w:val="3"/>
      </w:pPr>
      <w:r>
        <w:rPr>
          <w:sz w:val="24"/>
          <w:b/>
        </w:rPr>
        <w:t>采购项目编号：</w:t>
      </w:r>
      <w:r>
        <w:rPr>
          <w:sz w:val="24"/>
          <w:b/>
        </w:rPr>
        <w:t>0877-25GZTP1ZC0052</w:t>
      </w:r>
    </w:p>
    <w:p>
      <w:pPr>
        <w:pStyle w:val="null3"/>
        <w:jc w:val="center"/>
        <w:outlineLvl w:val="3"/>
      </w:pPr>
      <w:r>
        <w:rPr>
          <w:sz w:val="24"/>
          <w:b/>
        </w:rPr>
        <w:t>项目名称：</w:t>
      </w:r>
      <w:r>
        <w:rPr>
          <w:sz w:val="24"/>
          <w:b/>
        </w:rPr>
        <w:t>广东省第二人民医院药学数据治理服务项目</w:t>
      </w:r>
    </w:p>
    <w:p>
      <w:pPr>
        <w:pStyle w:val="null3"/>
        <w:jc w:val="center"/>
        <w:outlineLvl w:val="3"/>
      </w:pPr>
      <w:r>
        <w:rPr>
          <w:sz w:val="24"/>
          <w:b/>
        </w:rPr>
        <w:t>采购人：</w:t>
      </w:r>
      <w:r>
        <w:rPr>
          <w:sz w:val="24"/>
          <w:b/>
        </w:rPr>
        <w:t>广东省第二人民医院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r>
        <w:br/>
      </w:r>
    </w:p>
    <w:p>
      <w:pPr>
        <w:pStyle w:val="null3"/>
        <w:jc w:val="center"/>
        <w:outlineLvl w:val="1"/>
      </w:pPr>
      <w:r>
        <w:rPr>
          <w:sz w:val="36"/>
          <w:b/>
        </w:rPr>
        <w:t>第一章投标邀请</w:t>
      </w:r>
    </w:p>
    <w:p>
      <w:pPr>
        <w:pStyle w:val="null3"/>
        <w:ind w:firstLine="480"/>
      </w:pPr>
      <w:r>
        <w:rPr/>
        <w:t>广东广招招标采购有限公司</w:t>
      </w:r>
      <w:r>
        <w:rPr/>
        <w:t>受</w:t>
      </w:r>
      <w:r>
        <w:rPr/>
        <w:t>广东省第二人民医院</w:t>
      </w:r>
      <w:r>
        <w:rPr/>
        <w:t>的委托，采用</w:t>
      </w:r>
      <w:r>
        <w:rPr/>
        <w:t>公开招标</w:t>
      </w:r>
      <w:r>
        <w:rPr/>
        <w:t>方式组织采购</w:t>
      </w:r>
      <w:r>
        <w:rPr/>
        <w:t>广东省第二人民医院药学数据治理服务项目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广东省第二人民医院药学数据治理服务项目</w:t>
      </w:r>
    </w:p>
    <w:p>
      <w:pPr>
        <w:pStyle w:val="null3"/>
        <w:ind w:firstLine="480"/>
      </w:pPr>
      <w:r>
        <w:rPr/>
        <w:t>采购计划编号：</w:t>
      </w:r>
      <w:r>
        <w:rPr/>
        <w:t>440001-2025-08391</w:t>
      </w:r>
    </w:p>
    <w:p>
      <w:pPr>
        <w:pStyle w:val="null3"/>
        <w:ind w:firstLine="480"/>
      </w:pPr>
      <w:r>
        <w:rPr/>
        <w:t>采购项目编号：</w:t>
      </w:r>
      <w:r>
        <w:rPr/>
        <w:t>0877-25GZTP1ZC0052</w:t>
      </w:r>
    </w:p>
    <w:p>
      <w:pPr>
        <w:pStyle w:val="null3"/>
        <w:ind w:firstLine="480"/>
      </w:pPr>
      <w:r>
        <w:rPr/>
        <w:t>采购方式：</w:t>
      </w:r>
      <w:r>
        <w:rPr/>
        <w:t>公开招标</w:t>
      </w:r>
    </w:p>
    <w:p>
      <w:pPr>
        <w:pStyle w:val="null3"/>
        <w:ind w:firstLine="480"/>
      </w:pPr>
      <w:r>
        <w:rPr/>
        <w:t>预算金额：</w:t>
      </w:r>
      <w:r>
        <w:rPr/>
        <w:t>1,498,800.00</w:t>
      </w:r>
      <w:r>
        <w:rPr/>
        <w:t>元</w:t>
      </w:r>
    </w:p>
    <w:p>
      <w:pPr>
        <w:pStyle w:val="null3"/>
        <w:outlineLvl w:val="3"/>
      </w:pPr>
      <w:r>
        <w:rPr>
          <w:sz w:val="24"/>
          <w:b/>
        </w:rPr>
        <w:t>2.项目内容及需求情况（采购项目技术规格、参数及要求）</w:t>
      </w:r>
    </w:p>
    <w:p>
      <w:pPr>
        <w:pStyle w:val="null3"/>
      </w:pPr>
      <w:r>
        <w:rPr/>
        <w:t>采购包1(广东省第二人民医院药学数据治理服务):</w:t>
      </w:r>
    </w:p>
    <w:p>
      <w:pPr>
        <w:pStyle w:val="null3"/>
      </w:pPr>
      <w:r>
        <w:rPr/>
        <w:t>采购包预算金额：1,498,800.00元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其他信息技术服务</w:t>
            </w:r>
          </w:p>
        </w:tc>
        <w:tc>
          <w:tcPr>
            <w:tcW w:type="dxa" w:w="2136"/>
          </w:tcPr>
          <w:p>
            <w:pPr>
              <w:pStyle w:val="null3"/>
            </w:pPr>
            <w:r>
              <w:rPr/>
              <w:t>药学数据治理服务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合同履行期限：合同签订之日起6个月内完成药学数据治理服务和基于现有系统的改造服务的提供，由采购人按照相关规定组织最终验收。</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3）具有良好的商业信誉和健全的财务会计制度：提供2023年度财务状况报告或2024年度财务状况报告；或银行出具的资信证明材料复印件。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采购包1（广东省第二人民医院药学数据治理服务）：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采购包1（广东省第二人民医院药学数据治理服务）：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广东省第二人民医院</w:t>
      </w:r>
    </w:p>
    <w:p>
      <w:pPr>
        <w:pStyle w:val="null3"/>
        <w:ind w:firstLine="480"/>
      </w:pPr>
      <w:r>
        <w:rPr/>
        <w:t xml:space="preserve"> 地址：</w:t>
      </w:r>
      <w:r>
        <w:rPr/>
        <w:t>广州市海珠区新港中路466号</w:t>
      </w:r>
    </w:p>
    <w:p>
      <w:pPr>
        <w:pStyle w:val="null3"/>
        <w:ind w:firstLine="480"/>
      </w:pPr>
      <w:r>
        <w:rPr/>
        <w:t xml:space="preserve"> 联系方式：</w:t>
      </w:r>
      <w:r>
        <w:rPr/>
        <w:t>020-89168062</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color w:val="000000"/>
        </w:rPr>
        <w:t>项目属性：服务类</w:t>
      </w:r>
    </w:p>
    <w:p>
      <w:pPr>
        <w:pStyle w:val="null3"/>
        <w:jc w:val="both"/>
      </w:pPr>
      <w:r>
        <w:rPr>
          <w:sz w:val="21"/>
          <w:color w:val="000000"/>
        </w:rPr>
        <w:t>品目分类：</w:t>
      </w:r>
      <w:r>
        <w:rPr>
          <w:sz w:val="21"/>
        </w:rPr>
        <w:t>其他信息技术服务</w:t>
      </w:r>
    </w:p>
    <w:p>
      <w:pPr>
        <w:pStyle w:val="null3"/>
      </w:pPr>
      <w:r>
        <w:rPr>
          <w:sz w:val="21"/>
          <w:color w:val="000000"/>
        </w:rPr>
        <w:t>本项目对应的中小企业划分标准所属行业为：软件和信息技术服务业</w:t>
      </w:r>
    </w:p>
    <w:p>
      <w:pPr>
        <w:pStyle w:val="null3"/>
        <w:spacing w:before="255" w:after="150"/>
        <w:ind w:left="-210"/>
        <w:jc w:val="both"/>
        <w:outlineLvl w:val="1"/>
      </w:pPr>
      <w:r>
        <w:rPr>
          <w:sz w:val="22"/>
          <w:b/>
          <w:color w:val="000000"/>
        </w:rPr>
        <w:t>（一）项目背景</w:t>
      </w:r>
    </w:p>
    <w:p>
      <w:pPr>
        <w:pStyle w:val="null3"/>
        <w:ind w:firstLine="480"/>
        <w:jc w:val="both"/>
      </w:pPr>
      <w:r>
        <w:rPr>
          <w:sz w:val="21"/>
          <w:color w:val="000000"/>
        </w:rPr>
        <w:t>随着国家三级公立医院绩效考核、医保数据上报及医院精细化管理等因素驱动，医院数据质量的重要性日益显现。药学数据是医疗数据的关键组成部分，目前药学医疗数据种类繁杂、标准不统一，数据质量参差不齐，数据治理作为提升数据价值的一种必要手段。因此，开展药学相关数据治理以提高药学相关数据质量，是全院数据治理工作的核心任务之一。</w:t>
      </w:r>
    </w:p>
    <w:p>
      <w:pPr>
        <w:pStyle w:val="null3"/>
        <w:ind w:firstLine="480"/>
        <w:jc w:val="both"/>
      </w:pPr>
      <w:r>
        <w:rPr>
          <w:sz w:val="21"/>
          <w:color w:val="000000"/>
        </w:rPr>
        <w:t>采购人通过公开招标方式选取专业的机构，提供药学数据治理服务和基于现有系统的改造服务。药学数据治理服务通过专业团队为医院药学数据治理提供组建药学数据治理工作小组、构建药学数据组织领导机制、制定药学数据相关规范、搭建药学数据标准体系、药学数据现状调研等服务内容，最终协助医院更好地完成药学相关数据治理工作</w:t>
      </w:r>
      <w:r>
        <w:rPr>
          <w:sz w:val="21"/>
          <w:color w:val="000000"/>
        </w:rPr>
        <w:t>，</w:t>
      </w:r>
      <w:r>
        <w:rPr>
          <w:sz w:val="21"/>
        </w:rPr>
        <w:t>使数据质量能达到国家权威标准要求；基于现有系统的改造服务</w:t>
      </w:r>
      <w:r>
        <w:rPr>
          <w:sz w:val="21"/>
        </w:rPr>
        <w:t>通过药学元数据管理、药学主数据管理改造、药学数据的采集、数据清洗、转化优化及药学数据治理管理改造、药学管理系统改造服务；实现对药学数据的可管理、可跟踪和可应用服务，从而进一步提升采购人药学业务管理水平，推动医院在精细化管理和信息化建设领域迈向更高台阶。</w:t>
      </w:r>
    </w:p>
    <w:p>
      <w:pPr>
        <w:pStyle w:val="null3"/>
        <w:spacing w:before="255" w:after="150"/>
        <w:ind w:left="-210"/>
        <w:jc w:val="both"/>
        <w:outlineLvl w:val="1"/>
      </w:pPr>
      <w:r>
        <w:rPr>
          <w:sz w:val="21"/>
          <w:b/>
          <w:color w:val="171717"/>
        </w:rPr>
        <w:t>（二）需求清单</w:t>
      </w:r>
    </w:p>
    <w:tbl>
      <w:tblPr>
        <w:tblW w:w="0" w:type="auto"/>
        <w:tblBorders>
          <w:top w:val="none" w:color="000000" w:sz="4"/>
          <w:left w:val="none" w:color="000000" w:sz="4"/>
          <w:bottom w:val="none" w:color="000000" w:sz="4"/>
          <w:right w:val="none" w:color="000000" w:sz="4"/>
          <w:insideH w:val="none"/>
          <w:insideV w:val="none"/>
        </w:tblBorders>
      </w:tblPr>
      <w:tblGrid>
        <w:gridCol w:w="2613"/>
        <w:gridCol w:w="3024"/>
        <w:gridCol w:w="969"/>
        <w:gridCol w:w="1512"/>
      </w:tblGrid>
      <w:tr>
        <w:tc>
          <w:tcPr>
            <w:tcW w:type="dxa" w:w="2613"/>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b/>
              </w:rPr>
              <w:t>项目名称</w:t>
            </w:r>
          </w:p>
        </w:tc>
        <w:tc>
          <w:tcPr>
            <w:tcW w:type="dxa" w:w="3024"/>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b/>
              </w:rPr>
              <w:t>服务内容</w:t>
            </w:r>
          </w:p>
        </w:tc>
        <w:tc>
          <w:tcPr>
            <w:tcW w:type="dxa" w:w="969"/>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b/>
              </w:rPr>
              <w:t>数量</w:t>
            </w:r>
          </w:p>
        </w:tc>
        <w:tc>
          <w:tcPr>
            <w:tcW w:type="dxa" w:w="1512"/>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b/>
              </w:rPr>
              <w:t>维保期</w:t>
            </w:r>
          </w:p>
        </w:tc>
      </w:tr>
      <w:tr>
        <w:tc>
          <w:tcPr>
            <w:tcW w:type="dxa" w:w="2613"/>
            <w:vMerge w:val="restart"/>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rPr>
              <w:t>广东省第二人民医院药学数据治理服务项目</w:t>
            </w:r>
          </w:p>
        </w:tc>
        <w:tc>
          <w:tcPr>
            <w:tcW w:type="dxa" w:w="3024"/>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rPr>
              <w:t>药学数据治理服务</w:t>
            </w:r>
          </w:p>
        </w:tc>
        <w:tc>
          <w:tcPr>
            <w:tcW w:type="dxa" w:w="969"/>
            <w:vMerge w:val="restart"/>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rPr>
              <w:t>1项</w:t>
            </w:r>
          </w:p>
        </w:tc>
        <w:tc>
          <w:tcPr>
            <w:tcW w:type="dxa" w:w="1512"/>
            <w:vMerge w:val="restart"/>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rPr>
              <w:t>一年</w:t>
            </w:r>
          </w:p>
        </w:tc>
      </w:tr>
      <w:tr>
        <w:tc>
          <w:tcPr>
            <w:tcW w:type="dxa" w:w="2613"/>
            <w:vMerge/>
            <w:tcBorders>
              <w:top w:val="none" w:color="000000" w:sz="4"/>
              <w:left w:val="single" w:color="000000" w:sz="4"/>
              <w:bottom w:val="single" w:color="000000" w:sz="4"/>
              <w:right w:val="single" w:color="000000" w:sz="4"/>
            </w:tcBorders>
          </w:tcPr>
          <w:p/>
        </w:tc>
        <w:tc>
          <w:tcPr>
            <w:tcW w:type="dxa" w:w="3024"/>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center"/>
            </w:pPr>
            <w:r>
              <w:rPr>
                <w:sz w:val="21"/>
              </w:rPr>
              <w:t>基于现有系统的改造服务</w:t>
            </w:r>
          </w:p>
        </w:tc>
        <w:tc>
          <w:tcPr>
            <w:tcW w:type="dxa" w:w="969"/>
            <w:vMerge/>
            <w:tcBorders>
              <w:top w:val="none" w:color="000000" w:sz="4"/>
              <w:left w:val="single" w:color="000000" w:sz="4"/>
              <w:bottom w:val="single" w:color="000000" w:sz="4"/>
              <w:right w:val="single" w:color="000000" w:sz="4"/>
            </w:tcBorders>
          </w:tcPr>
          <w:p/>
        </w:tc>
        <w:tc>
          <w:tcPr>
            <w:tcW w:type="dxa" w:w="1512"/>
            <w:vMerge/>
            <w:tcBorders>
              <w:top w:val="none" w:color="000000" w:sz="4"/>
              <w:left w:val="single" w:color="000000" w:sz="4"/>
              <w:bottom w:val="single" w:color="000000" w:sz="4"/>
              <w:right w:val="single" w:color="000000" w:sz="4"/>
            </w:tcBorders>
          </w:tcPr>
          <w:p/>
        </w:tc>
      </w:tr>
    </w:tbl>
    <w:p>
      <w:pPr>
        <w:pStyle w:val="null3"/>
        <w:spacing w:before="255" w:after="150"/>
        <w:ind w:left="-210"/>
        <w:jc w:val="both"/>
        <w:outlineLvl w:val="1"/>
      </w:pPr>
      <w:r>
        <w:rPr>
          <w:sz w:val="21"/>
          <w:b/>
          <w:color w:val="171717"/>
        </w:rPr>
        <w:t>（三）报价要求</w:t>
      </w:r>
    </w:p>
    <w:p>
      <w:pPr>
        <w:pStyle w:val="null3"/>
        <w:ind w:left="420"/>
      </w:pPr>
      <w:r>
        <w:rPr>
          <w:sz w:val="21"/>
        </w:rPr>
        <w:t>本次报价需对整个服务项目进行报价，报价中包含所有税费。</w:t>
      </w:r>
    </w:p>
    <w:p>
      <w:pPr>
        <w:pStyle w:val="null3"/>
        <w:jc w:val="left"/>
      </w:pPr>
      <w:r>
        <w:br/>
      </w:r>
      <w:r>
        <w:rPr>
          <w:sz w:val="22"/>
          <w:b/>
          <w:color w:val="000000"/>
        </w:rPr>
        <w:t>说明</w:t>
      </w:r>
      <w:r>
        <w:rPr>
          <w:sz w:val="22"/>
          <w:color w:val="000000"/>
        </w:rPr>
        <w:t>：</w:t>
      </w:r>
    </w:p>
    <w:p>
      <w:pPr>
        <w:pStyle w:val="null3"/>
        <w:jc w:val="both"/>
      </w:pPr>
      <w:r>
        <w:rPr>
          <w:sz w:val="21"/>
          <w:b/>
          <w:color w:val="000000"/>
        </w:rPr>
        <w:t>打</w:t>
      </w:r>
      <w:r>
        <w:rPr>
          <w:sz w:val="21"/>
          <w:b/>
          <w:color w:val="000000"/>
        </w:rPr>
        <w:t>“★”号条款为实质性条款，若有任何一条负偏离或不满足则导致投标无效。</w:t>
      </w:r>
      <w:r>
        <w:br/>
      </w:r>
      <w:r>
        <w:rPr>
          <w:sz w:val="21"/>
          <w:b/>
          <w:color w:val="000000"/>
        </w:rPr>
        <w:t>打</w:t>
      </w:r>
      <w:r>
        <w:rPr>
          <w:sz w:val="21"/>
          <w:b/>
          <w:color w:val="000000"/>
        </w:rPr>
        <w:t>“▲”号条款为重要技术参数，若有部分“▲”条款未响应或不满足，将导致其响应性评审加重扣分，但不作为无效投标条款。</w:t>
      </w:r>
    </w:p>
    <w:p>
      <w:pPr>
        <w:pStyle w:val="null3"/>
        <w:ind w:firstLine="480"/>
        <w:jc w:val="both"/>
      </w:pPr>
      <w:r>
        <w:rPr/>
        <w:t>采购包1（广东省第二人民医院药学数据治理服务）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合同签订之日起6个月内完成药学数据治理服务和基于现有系统的改造服务的提供，由采购人按照相关规定组织最终验收。</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第1期为(预付款)：支付比例30%，合同签订后15个工作日内，采购人凭中标人等额的增值税普通发票向中标人支付合同总金额的30%。</w:t>
            </w:r>
          </w:p>
          <w:p>
            <w:pPr>
              <w:pStyle w:val="null3"/>
            </w:pPr>
            <w:r>
              <w:rPr/>
              <w:t>第2期为(进度款)：支付比例30%，合同签订6个月后，中标人向采购人完成基于现有系统的改造服务，采购人凭中标人等额的增值税普通发票支付合同总金额的30%。</w:t>
            </w:r>
          </w:p>
          <w:p>
            <w:pPr>
              <w:pStyle w:val="null3"/>
            </w:pPr>
            <w:r>
              <w:rPr/>
              <w:t>第3期为(尾款)：支付比例40%，项目验收通过后30天内，采购人凭中标人等额的增值税普通发票支付合同总金额的40%。</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1期：1.验收标准：系统验收以招标文件的技术要求、中标人投标文件的项目需求说明、实施方案、技术方案为依据。 2.在项目实施过程中，包括维护服务时期，项目组交付待安装的应用软件，必须在系统管理人员的监督下才能进行用户现场安装。 3.所有的技术文件须用中文书写。 4.项目交付应在合同规定时间内，将采购范围内所界定的工作完成，并协助采购人制定相应管理规范，在通过双方认可验收后，交付给采购人，其中包括：符合项目目标和相应的技术要求、业务需求，并能保持系统稳定、运行良好。足以确保系统正常运行所需的管理、运营及维护有关的配套技术文件。 5.项目总体验收时，项目完成后中标人提出申请验收，由中标人和采购人共同对项目进行验收。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其他信息技术服务</w:t>
            </w:r>
          </w:p>
        </w:tc>
        <w:tc>
          <w:tcPr>
            <w:tcW w:type="dxa" w:w="933"/>
          </w:tcPr>
          <w:p>
            <w:pPr>
              <w:pStyle w:val="null3"/>
              <w:jc w:val="left"/>
            </w:pPr>
            <w:r>
              <w:rPr/>
              <w:t>药学数据治理服务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1,498,800.00</w:t>
            </w:r>
          </w:p>
        </w:tc>
        <w:tc>
          <w:tcPr>
            <w:tcW w:type="dxa" w:w="933"/>
          </w:tcPr>
          <w:p>
            <w:pPr>
              <w:pStyle w:val="null3"/>
              <w:jc w:val="right"/>
            </w:pPr>
            <w:r>
              <w:rPr/>
              <w:t>1,498,800.00</w:t>
            </w:r>
          </w:p>
        </w:tc>
        <w:tc>
          <w:tcPr>
            <w:tcW w:type="dxa" w:w="840"/>
          </w:tcPr>
          <w:p>
            <w:pPr>
              <w:pStyle w:val="null3"/>
            </w:pPr>
            <w:r>
              <w:rPr/>
              <w:t>软件和信息技术服务业</w:t>
            </w:r>
          </w:p>
        </w:tc>
        <w:tc>
          <w:tcPr>
            <w:tcW w:type="dxa" w:w="933"/>
          </w:tcPr>
          <w:p>
            <w:pPr>
              <w:pStyle w:val="null3"/>
            </w:pPr>
            <w:r>
              <w:rPr/>
              <w:t>详见附表一</w:t>
            </w:r>
          </w:p>
        </w:tc>
      </w:tr>
    </w:tbl>
    <w:p>
      <w:pPr>
        <w:pStyle w:val="null3"/>
      </w:pPr>
      <w:r>
        <w:rPr>
          <w:b/>
        </w:rPr>
        <w:t>附表</w:t>
      </w:r>
      <w:r>
        <w:rPr>
          <w:b/>
        </w:rPr>
        <w:t>一</w:t>
      </w:r>
      <w:r>
        <w:rPr>
          <w:b/>
        </w:rPr>
        <w:t>：</w:t>
      </w:r>
      <w:r>
        <w:rPr>
          <w:b/>
        </w:rPr>
        <w:t>药学数据治理服务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t>1.</w:t>
            </w:r>
            <w:r>
              <w:rPr/>
              <w:t>药学数据治理服务</w:t>
            </w:r>
          </w:p>
          <w:tbl>
            <w:tblPr>
              <w:tblInd w:type="dxa" w:w="120"/>
              <w:tblBorders>
                <w:top w:val="none" w:color="000000" w:sz="4"/>
                <w:left w:val="none" w:color="000000" w:sz="4"/>
                <w:bottom w:val="none" w:color="000000" w:sz="4"/>
                <w:right w:val="none" w:color="000000" w:sz="4"/>
                <w:insideH w:val="none"/>
                <w:insideV w:val="none"/>
              </w:tblBorders>
            </w:tblPr>
            <w:tblGrid>
              <w:gridCol w:w="975"/>
              <w:gridCol w:w="4469"/>
            </w:tblGrid>
            <w:tr>
              <w:tc>
                <w:tcPr>
                  <w:tcW w:type="dxa" w:w="97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服务模块</w:t>
                  </w:r>
                </w:p>
              </w:tc>
              <w:tc>
                <w:tcPr>
                  <w:tcW w:type="dxa" w:w="446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服务需求</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组建药学数据治理工作小组</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基于药学数据治理需求，</w:t>
                  </w:r>
                  <w:r>
                    <w:rPr>
                      <w:sz w:val="20"/>
                    </w:rPr>
                    <w:t>中标人专业</w:t>
                  </w:r>
                  <w:r>
                    <w:rPr>
                      <w:sz w:val="20"/>
                    </w:rPr>
                    <w:t>团队需在入场第一时间协助采购人完成数据治理工作组的组建。</w:t>
                  </w:r>
                </w:p>
                <w:p>
                  <w:pPr>
                    <w:pStyle w:val="null3"/>
                    <w:jc w:val="both"/>
                  </w:pPr>
                  <w:r>
                    <w:rPr>
                      <w:sz w:val="20"/>
                    </w:rPr>
                    <w:t>数据治理工作组由医院院领导以及医院临床科室、职能科室、承建商组成。</w:t>
                  </w:r>
                </w:p>
                <w:p>
                  <w:pPr>
                    <w:pStyle w:val="null3"/>
                    <w:jc w:val="both"/>
                  </w:pPr>
                  <w:r>
                    <w:rPr>
                      <w:sz w:val="20"/>
                    </w:rPr>
                    <w:t>数据治理工作组的职责：制订药学数据治理战略及具体目标、药学数据治理规章制度和细则，明确管理组织的各级角色和职责，建立有效的数据管控机制和数据质量问题处理机制，实现常态化监管和质量问题闭环管理。</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构建药学数据组织领导机制</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团队协助医院完成构建药学数据组织领导机制、标准规范机制、培训教育机制等工作，以确保数据治理工作的规范性和有效性。</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制定药学数据相关规范</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团队协助医院制定清晰的药学数据相关流程规范，以协助实现以下目标：</w:t>
                  </w:r>
                </w:p>
                <w:p>
                  <w:pPr>
                    <w:pStyle w:val="null3"/>
                    <w:jc w:val="both"/>
                  </w:pPr>
                  <w:r>
                    <w:rPr>
                      <w:sz w:val="20"/>
                    </w:rPr>
                    <w:t>药学数据有明确和准确的定义。</w:t>
                  </w:r>
                </w:p>
                <w:p>
                  <w:pPr>
                    <w:pStyle w:val="null3"/>
                    <w:jc w:val="both"/>
                  </w:pPr>
                  <w:r>
                    <w:rPr>
                      <w:sz w:val="20"/>
                    </w:rPr>
                    <w:t>药学数据有明确的责任方。</w:t>
                  </w:r>
                </w:p>
                <w:p>
                  <w:pPr>
                    <w:pStyle w:val="null3"/>
                    <w:jc w:val="both"/>
                  </w:pPr>
                  <w:r>
                    <w:rPr>
                      <w:sz w:val="20"/>
                    </w:rPr>
                    <w:t>药学数据有清晰的存储方式与合理的时间期限。</w:t>
                  </w:r>
                </w:p>
                <w:p>
                  <w:pPr>
                    <w:pStyle w:val="null3"/>
                    <w:jc w:val="both"/>
                  </w:pPr>
                  <w:r>
                    <w:rPr>
                      <w:sz w:val="20"/>
                    </w:rPr>
                    <w:t>药学数据加工方法明晰。</w:t>
                  </w:r>
                </w:p>
                <w:p>
                  <w:pPr>
                    <w:pStyle w:val="null3"/>
                    <w:jc w:val="both"/>
                  </w:pPr>
                  <w:r>
                    <w:rPr>
                      <w:sz w:val="20"/>
                    </w:rPr>
                    <w:t>药学数据访问方式与控制明确。</w:t>
                  </w:r>
                </w:p>
                <w:p>
                  <w:pPr>
                    <w:pStyle w:val="null3"/>
                    <w:jc w:val="both"/>
                  </w:pPr>
                  <w:r>
                    <w:rPr>
                      <w:sz w:val="20"/>
                    </w:rPr>
                    <w:t>药学数据内容符合标准要求与质量要求等。</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搭建药学数据标准体系</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团队协助医院药学数据治理工作组成员以及业务组人员搭建药学数据标准体系，涵盖参考已有标准，结合现有医疗系统、业务流程，开展药学数据标准体系的建立、实施、修改等工作。</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药学数据现状调研</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需根据《三级医院评审标准》《国家三级公立医院绩效考核操作手册》《医院信息互联互通标准化成熟度测评体系》《电子病历系统应用水平分级评价标准（试行）》等标准以及其它药学专业要求对数据质量的要求，展开精细化条款研读，并结合医院药学数据需求、现状，制定调研表，开展调研，涵盖以下内容：</w:t>
                  </w:r>
                </w:p>
                <w:p>
                  <w:pPr>
                    <w:pStyle w:val="null3"/>
                    <w:jc w:val="both"/>
                  </w:pPr>
                  <w:r>
                    <w:rPr>
                      <w:sz w:val="20"/>
                    </w:rPr>
                    <w:t>1.</w:t>
                  </w:r>
                  <w:r>
                    <w:rPr>
                      <w:sz w:val="20"/>
                    </w:rPr>
                    <w:t>对标权威标准，全方位分析数据质量现状</w:t>
                  </w:r>
                </w:p>
                <w:p>
                  <w:pPr>
                    <w:pStyle w:val="null3"/>
                    <w:jc w:val="both"/>
                  </w:pPr>
                  <w:r>
                    <w:rPr>
                      <w:sz w:val="20"/>
                    </w:rPr>
                    <w:t>中标人专业</w:t>
                  </w:r>
                  <w:r>
                    <w:rPr>
                      <w:sz w:val="20"/>
                    </w:rPr>
                    <w:t>团队结合《三级医院评审标准》《国家三级公立医院绩效考核操作手册》《医院信息互联互通标准化成熟度测评体系》《电子病历系统应用水平分级评价标准（试行）》等评审以及其它药学专业要求对数据质量要求，展开精细化条款研读，从医院业务、组织管理、信息系统等多维度全面分析现状与标准差距。</w:t>
                  </w:r>
                  <w:r>
                    <w:br/>
                  </w:r>
                  <w:r>
                    <w:rPr>
                      <w:sz w:val="20"/>
                    </w:rPr>
                    <w:t>2.</w:t>
                  </w:r>
                  <w:r>
                    <w:rPr>
                      <w:sz w:val="20"/>
                    </w:rPr>
                    <w:t>深入调研，获取实际需求</w:t>
                  </w:r>
                </w:p>
                <w:p>
                  <w:pPr>
                    <w:pStyle w:val="null3"/>
                    <w:jc w:val="both"/>
                  </w:pPr>
                  <w:r>
                    <w:rPr>
                      <w:sz w:val="20"/>
                    </w:rPr>
                    <w:t>为更清晰了解医院对药学数据应用的内容与质量要求，</w:t>
                  </w:r>
                  <w:r>
                    <w:rPr>
                      <w:sz w:val="20"/>
                    </w:rPr>
                    <w:t>中标人专业</w:t>
                  </w:r>
                  <w:r>
                    <w:rPr>
                      <w:sz w:val="20"/>
                    </w:rPr>
                    <w:t>团队需针对管理应用需求、药学数据现状、信息化现状等情况，深入科室进行详细调研，汇制实际需求分析报告，报告包含调研指标对标对照表，目前情况、定位差距。</w:t>
                  </w:r>
                </w:p>
                <w:p>
                  <w:pPr>
                    <w:pStyle w:val="null3"/>
                    <w:jc w:val="both"/>
                  </w:pPr>
                  <w:r>
                    <w:rPr>
                      <w:sz w:val="20"/>
                    </w:rPr>
                    <w:t>在后期数据治理工作中，</w:t>
                  </w:r>
                  <w:r>
                    <w:rPr>
                      <w:sz w:val="20"/>
                    </w:rPr>
                    <w:t>中标人专业</w:t>
                  </w:r>
                  <w:r>
                    <w:rPr>
                      <w:sz w:val="20"/>
                    </w:rPr>
                    <w:t>团队也需要进行持续性沟通的调研，以满足医院药学数据治理要求和临床使用需求。</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药学数据治理差距分析汇报</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团队需根据实际掌握的医院药学数据质量现状、医院信息化建设现状，科室调研等情况向医院进行结果汇报，内容包含以下</w:t>
                  </w:r>
                  <w:r>
                    <w:rPr>
                      <w:sz w:val="20"/>
                    </w:rPr>
                    <w:t>2</w:t>
                  </w:r>
                  <w:r>
                    <w:rPr>
                      <w:sz w:val="20"/>
                    </w:rPr>
                    <w:t>方面：</w:t>
                  </w:r>
                </w:p>
                <w:p>
                  <w:pPr>
                    <w:pStyle w:val="null3"/>
                    <w:jc w:val="both"/>
                  </w:pPr>
                  <w:r>
                    <w:rPr>
                      <w:sz w:val="20"/>
                    </w:rPr>
                    <w:t>1.</w:t>
                  </w:r>
                  <w:r>
                    <w:rPr>
                      <w:sz w:val="20"/>
                    </w:rPr>
                    <w:t>输出现状分析报告；</w:t>
                  </w:r>
                </w:p>
                <w:p>
                  <w:pPr>
                    <w:pStyle w:val="null3"/>
                    <w:jc w:val="both"/>
                  </w:pPr>
                  <w:r>
                    <w:rPr>
                      <w:sz w:val="20"/>
                    </w:rPr>
                    <w:t>2.</w:t>
                  </w:r>
                  <w:r>
                    <w:rPr>
                      <w:sz w:val="20"/>
                    </w:rPr>
                    <w:t>输出需求分析报告。</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药学数据治理定制化改造方案</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依据采购人实际信息化情况，</w:t>
                  </w:r>
                  <w:r>
                    <w:rPr>
                      <w:sz w:val="20"/>
                    </w:rPr>
                    <w:t>中标人专业</w:t>
                  </w:r>
                  <w:r>
                    <w:rPr>
                      <w:sz w:val="20"/>
                    </w:rPr>
                    <w:t>团队需结合药学数据治理及评审目标，量身定制药学数据治理改造方案，包括以下内容：</w:t>
                  </w:r>
                </w:p>
                <w:p>
                  <w:pPr>
                    <w:pStyle w:val="null3"/>
                    <w:jc w:val="both"/>
                  </w:pPr>
                  <w:r>
                    <w:rPr>
                      <w:sz w:val="20"/>
                    </w:rPr>
                    <w:t>数据结构改造方案</w:t>
                  </w:r>
                </w:p>
                <w:p>
                  <w:pPr>
                    <w:pStyle w:val="null3"/>
                    <w:jc w:val="both"/>
                  </w:pPr>
                  <w:r>
                    <w:rPr>
                      <w:sz w:val="20"/>
                    </w:rPr>
                    <w:t>结合医院药学数据情况提供数据结构改造方案，包括数据定义与分类、主数据、参考数据、质量评估类等内容。</w:t>
                  </w:r>
                </w:p>
                <w:p>
                  <w:pPr>
                    <w:pStyle w:val="null3"/>
                    <w:jc w:val="both"/>
                  </w:pPr>
                  <w:r>
                    <w:rPr>
                      <w:sz w:val="20"/>
                    </w:rPr>
                    <w:t>业务流程改造方案：</w:t>
                  </w:r>
                </w:p>
                <w:p>
                  <w:pPr>
                    <w:pStyle w:val="null3"/>
                    <w:jc w:val="both"/>
                  </w:pPr>
                  <w:r>
                    <w:rPr>
                      <w:sz w:val="20"/>
                    </w:rPr>
                    <w:t>药学数据治理是确保医院数据质量、安全和合规性的关键活动，而这些活动直接影响到医院的业务流程的效率和效果，结合医院术语服务，检查检验、用药医、手术、预约挂号、审计服务、处方流转、表单填报等场景的县体需求，综合数据治理的目标成果，对业务流程中的瓶颈和问题提出对应的改造方案，并采取相应的措施进行改进。</w:t>
                  </w:r>
                </w:p>
                <w:p>
                  <w:pPr>
                    <w:pStyle w:val="null3"/>
                    <w:jc w:val="both"/>
                  </w:pPr>
                  <w:r>
                    <w:rPr>
                      <w:sz w:val="20"/>
                    </w:rPr>
                    <w:t>业务功能改造方案</w:t>
                  </w:r>
                </w:p>
                <w:p>
                  <w:pPr>
                    <w:pStyle w:val="null3"/>
                    <w:jc w:val="both"/>
                  </w:pPr>
                  <w:r>
                    <w:rPr>
                      <w:sz w:val="20"/>
                    </w:rPr>
                    <w:t>业务系统的功能是医院药学数据治理的重要手段，也是医院评审考察的重点。</w:t>
                  </w:r>
                  <w:r>
                    <w:rPr>
                      <w:sz w:val="20"/>
                    </w:rPr>
                    <w:t>中标人专业</w:t>
                  </w:r>
                  <w:r>
                    <w:rPr>
                      <w:sz w:val="20"/>
                    </w:rPr>
                    <w:t>团队对科室需求进行一对一的需求取证，通过对应的功能改造方案；功能改造方案需要满足采购人整体需求，且功能改造后需具备临床应用性。</w:t>
                  </w:r>
                </w:p>
                <w:p>
                  <w:pPr>
                    <w:pStyle w:val="null3"/>
                    <w:jc w:val="both"/>
                  </w:pPr>
                  <w:r>
                    <w:rPr>
                      <w:sz w:val="20"/>
                    </w:rPr>
                    <w:t>数据安全保护改造方案</w:t>
                  </w:r>
                </w:p>
                <w:p>
                  <w:pPr>
                    <w:pStyle w:val="null3"/>
                    <w:jc w:val="both"/>
                  </w:pPr>
                  <w:r>
                    <w:rPr>
                      <w:sz w:val="20"/>
                    </w:rPr>
                    <w:t>中标人专业</w:t>
                  </w:r>
                  <w:r>
                    <w:rPr>
                      <w:sz w:val="20"/>
                    </w:rPr>
                    <w:t>团队在协助医院开展药学数据治理的过程中，需针对数据的存储、备份、患者隐私等提供对应的改造方案，保证数据安全，促进医院顺利开展数据安全管理工作。</w:t>
                  </w:r>
                </w:p>
                <w:p>
                  <w:pPr>
                    <w:pStyle w:val="null3"/>
                    <w:jc w:val="both"/>
                  </w:pPr>
                  <w:r>
                    <w:rPr>
                      <w:sz w:val="20"/>
                    </w:rPr>
                    <w:t>数据治理计划管理</w:t>
                  </w:r>
                </w:p>
                <w:p>
                  <w:pPr>
                    <w:pStyle w:val="null3"/>
                    <w:jc w:val="both"/>
                  </w:pPr>
                  <w:r>
                    <w:rPr>
                      <w:sz w:val="20"/>
                    </w:rPr>
                    <w:t>中标人专业</w:t>
                  </w:r>
                  <w:r>
                    <w:rPr>
                      <w:sz w:val="20"/>
                    </w:rPr>
                    <w:t>团队需提供整体的药学数据治理计划，需以业务域为维度划分完成时间并进行全程改造跟进，即根据定制化改造方案，结合采购人信息化建设的实际情况和目标达成时间，制定改进措施计划，计划中应包含需改进的所有信息化相关建设厂商及对应改进时间等内容。</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药学数据治理培训</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团队需协助医院开展医疗数据治理相关内容培训，包括改造业务流程、系统功能、系统操作、数据安全等内容。</w:t>
                  </w:r>
                </w:p>
                <w:p>
                  <w:pPr>
                    <w:pStyle w:val="null3"/>
                    <w:jc w:val="both"/>
                  </w:pPr>
                  <w:r>
                    <w:rPr>
                      <w:sz w:val="20"/>
                    </w:rPr>
                    <w:t>培训形式包括理论教学、实操演练、沙盘模拟实战等，以确保参训人员能够全面理解和掌握相关知识。</w:t>
                  </w:r>
                </w:p>
              </w:tc>
            </w:tr>
            <w:tr>
              <w:tc>
                <w:tcPr>
                  <w:tcW w:type="dxa" w:w="97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药学数据治理跟踪与持续服务</w:t>
                  </w:r>
                </w:p>
              </w:tc>
              <w:tc>
                <w:tcPr>
                  <w:tcW w:type="dxa" w:w="44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中标人专业</w:t>
                  </w:r>
                  <w:r>
                    <w:rPr>
                      <w:sz w:val="20"/>
                    </w:rPr>
                    <w:t>团队需根据药学数据治理定制化改造方案，对采购人数据治理工作进行指导及进度跟踪。包含以下方面：</w:t>
                  </w:r>
                </w:p>
                <w:p>
                  <w:pPr>
                    <w:pStyle w:val="null3"/>
                    <w:jc w:val="both"/>
                  </w:pPr>
                  <w:r>
                    <w:rPr>
                      <w:sz w:val="20"/>
                    </w:rPr>
                    <w:t>1.</w:t>
                  </w:r>
                  <w:r>
                    <w:rPr>
                      <w:sz w:val="20"/>
                    </w:rPr>
                    <w:t>改造进度跟进</w:t>
                  </w:r>
                </w:p>
                <w:p>
                  <w:pPr>
                    <w:pStyle w:val="null3"/>
                    <w:jc w:val="both"/>
                  </w:pPr>
                  <w:r>
                    <w:rPr>
                      <w:sz w:val="20"/>
                    </w:rPr>
                    <w:t>需根据工作计划，全程跟踪数据治理的工作进度：</w:t>
                  </w:r>
                </w:p>
                <w:p>
                  <w:pPr>
                    <w:pStyle w:val="null3"/>
                    <w:jc w:val="both"/>
                  </w:pPr>
                  <w:r>
                    <w:rPr>
                      <w:sz w:val="20"/>
                    </w:rPr>
                    <w:t>1</w:t>
                  </w:r>
                  <w:r>
                    <w:rPr>
                      <w:sz w:val="20"/>
                    </w:rPr>
                    <w:t>）数据结构改造跟踪：</w:t>
                  </w:r>
                </w:p>
                <w:p>
                  <w:pPr>
                    <w:pStyle w:val="null3"/>
                    <w:jc w:val="both"/>
                  </w:pPr>
                  <w:r>
                    <w:rPr>
                      <w:sz w:val="20"/>
                    </w:rPr>
                    <w:t>结合数据结构改造方案和计划，跟进改造进度，包括数据定义与分类、主数据、参考数据、质量评估类等内容的改造进度。</w:t>
                  </w:r>
                </w:p>
                <w:p>
                  <w:pPr>
                    <w:pStyle w:val="null3"/>
                    <w:jc w:val="both"/>
                  </w:pPr>
                  <w:r>
                    <w:rPr>
                      <w:sz w:val="20"/>
                    </w:rPr>
                    <w:t>2</w:t>
                  </w:r>
                  <w:r>
                    <w:rPr>
                      <w:sz w:val="20"/>
                    </w:rPr>
                    <w:t>）业务流程改造跟踪：</w:t>
                  </w:r>
                </w:p>
                <w:p>
                  <w:pPr>
                    <w:pStyle w:val="null3"/>
                    <w:jc w:val="both"/>
                  </w:pPr>
                  <w:r>
                    <w:rPr>
                      <w:sz w:val="20"/>
                    </w:rPr>
                    <w:t>结合业务流程改造方案和计划，跟踪需改造的各业务流程进度。</w:t>
                  </w:r>
                </w:p>
                <w:p>
                  <w:pPr>
                    <w:pStyle w:val="null3"/>
                    <w:jc w:val="both"/>
                  </w:pPr>
                  <w:r>
                    <w:rPr>
                      <w:sz w:val="20"/>
                    </w:rPr>
                    <w:t>3</w:t>
                  </w:r>
                  <w:r>
                    <w:rPr>
                      <w:sz w:val="20"/>
                    </w:rPr>
                    <w:t>）业务功能改造跟踪：</w:t>
                  </w:r>
                </w:p>
                <w:p>
                  <w:pPr>
                    <w:pStyle w:val="null3"/>
                    <w:jc w:val="both"/>
                  </w:pPr>
                  <w:r>
                    <w:rPr>
                      <w:sz w:val="20"/>
                    </w:rPr>
                    <w:t>需根据工作计划，全程跟踪采购人承建商改造进度；对承建商在功能改造过程中出现偏差的功能点及时进行纠偏，保障改造进度；促进采购人与承建商的沟通，更好的督促承建商的改造积极性。</w:t>
                  </w:r>
                </w:p>
                <w:p>
                  <w:pPr>
                    <w:pStyle w:val="null3"/>
                    <w:jc w:val="both"/>
                  </w:pPr>
                  <w:r>
                    <w:rPr>
                      <w:sz w:val="20"/>
                    </w:rPr>
                    <w:t>定期向院方负责人汇报，如发现风险与问题，及时变更方案并提交给院方审核。</w:t>
                  </w:r>
                </w:p>
                <w:p>
                  <w:pPr>
                    <w:pStyle w:val="null3"/>
                    <w:jc w:val="both"/>
                  </w:pPr>
                  <w:r>
                    <w:rPr>
                      <w:sz w:val="20"/>
                    </w:rPr>
                    <w:t>4</w:t>
                  </w:r>
                  <w:r>
                    <w:rPr>
                      <w:sz w:val="20"/>
                    </w:rPr>
                    <w:t>）用户培训跟踪：</w:t>
                  </w:r>
                </w:p>
                <w:p>
                  <w:pPr>
                    <w:pStyle w:val="null3"/>
                    <w:jc w:val="both"/>
                  </w:pPr>
                  <w:r>
                    <w:rPr>
                      <w:sz w:val="20"/>
                    </w:rPr>
                    <w:t>结合数据治理的整体方案和计划，跟进医院各科室的业务流程、系统操作等方面培训进度、质量跟踪。</w:t>
                  </w:r>
                </w:p>
                <w:p>
                  <w:pPr>
                    <w:pStyle w:val="null3"/>
                    <w:jc w:val="both"/>
                  </w:pPr>
                  <w:r>
                    <w:rPr>
                      <w:sz w:val="20"/>
                    </w:rPr>
                    <w:t>5</w:t>
                  </w:r>
                  <w:r>
                    <w:rPr>
                      <w:sz w:val="20"/>
                    </w:rPr>
                    <w:t>）数据安全与隐私保护改造跟踪：</w:t>
                  </w:r>
                </w:p>
                <w:p>
                  <w:pPr>
                    <w:pStyle w:val="null3"/>
                    <w:jc w:val="both"/>
                  </w:pPr>
                  <w:r>
                    <w:rPr>
                      <w:sz w:val="20"/>
                    </w:rPr>
                    <w:t>结合数据安全与隐私保护改造方案和计划，跟进数据安全管理工作进度。</w:t>
                  </w:r>
                </w:p>
                <w:p>
                  <w:pPr>
                    <w:pStyle w:val="null3"/>
                    <w:jc w:val="both"/>
                  </w:pPr>
                  <w:r>
                    <w:rPr>
                      <w:sz w:val="20"/>
                    </w:rPr>
                    <w:t>2.</w:t>
                  </w:r>
                  <w:r>
                    <w:rPr>
                      <w:sz w:val="20"/>
                    </w:rPr>
                    <w:t>改造效果确认</w:t>
                  </w:r>
                </w:p>
                <w:p>
                  <w:pPr>
                    <w:pStyle w:val="null3"/>
                    <w:jc w:val="both"/>
                  </w:pPr>
                  <w:r>
                    <w:rPr>
                      <w:sz w:val="20"/>
                    </w:rPr>
                    <w:t>数据结构改造、业务流程改造、业务功能改造、系统操作改造、数据安全与隐私保护改造贯彻整个治理流程，</w:t>
                  </w:r>
                  <w:r>
                    <w:rPr>
                      <w:sz w:val="20"/>
                    </w:rPr>
                    <w:t>中标人专业</w:t>
                  </w:r>
                  <w:r>
                    <w:rPr>
                      <w:sz w:val="20"/>
                    </w:rPr>
                    <w:t>团队需不断地确认采购人的改造是否满足《三级医院评审标准》《国家三级公立医院绩效考核操作手册》《医院信息互联互通标准化成熟度测评体系》（五乙）、《电子病历系统应用水平分级评价标准（试行）》</w:t>
                  </w:r>
                  <w:r>
                    <w:rPr>
                      <w:sz w:val="20"/>
                    </w:rPr>
                    <w:t>(6</w:t>
                  </w:r>
                  <w:r>
                    <w:rPr>
                      <w:sz w:val="20"/>
                    </w:rPr>
                    <w:t>级</w:t>
                  </w:r>
                  <w:r>
                    <w:rPr>
                      <w:sz w:val="20"/>
                    </w:rPr>
                    <w:t>)</w:t>
                  </w:r>
                  <w:r>
                    <w:rPr>
                      <w:sz w:val="20"/>
                    </w:rPr>
                    <w:t>有关指标与数据质量的要求；在改造过程中，针对不合格的改造内容保持持续沟通。</w:t>
                  </w:r>
                </w:p>
                <w:p>
                  <w:pPr>
                    <w:pStyle w:val="null3"/>
                    <w:jc w:val="both"/>
                  </w:pPr>
                  <w:r>
                    <w:rPr>
                      <w:sz w:val="20"/>
                    </w:rPr>
                    <w:t>3.</w:t>
                  </w:r>
                  <w:r>
                    <w:rPr>
                      <w:sz w:val="20"/>
                    </w:rPr>
                    <w:t>方案优化及持续性服务</w:t>
                  </w:r>
                </w:p>
                <w:p>
                  <w:pPr>
                    <w:pStyle w:val="null3"/>
                    <w:jc w:val="both"/>
                  </w:pPr>
                  <w:r>
                    <w:rPr>
                      <w:sz w:val="20"/>
                    </w:rPr>
                    <w:t>1</w:t>
                  </w:r>
                  <w:r>
                    <w:rPr>
                      <w:sz w:val="20"/>
                    </w:rPr>
                    <w:t>）针对药学数据治理过程中，</w:t>
                  </w:r>
                  <w:r>
                    <w:rPr>
                      <w:sz w:val="20"/>
                    </w:rPr>
                    <w:t>中标人专业</w:t>
                  </w:r>
                  <w:r>
                    <w:rPr>
                      <w:sz w:val="20"/>
                    </w:rPr>
                    <w:t>团队需针对各方提出的质疑点或建议点等内容进行改造方案优化。</w:t>
                  </w:r>
                </w:p>
                <w:p>
                  <w:pPr>
                    <w:pStyle w:val="null3"/>
                    <w:jc w:val="both"/>
                  </w:pPr>
                  <w:r>
                    <w:rPr>
                      <w:sz w:val="20"/>
                    </w:rPr>
                    <w:t>2</w:t>
                  </w:r>
                  <w:r>
                    <w:rPr>
                      <w:sz w:val="20"/>
                    </w:rPr>
                    <w:t>）持续性服务</w:t>
                  </w:r>
                </w:p>
                <w:p>
                  <w:pPr>
                    <w:pStyle w:val="null3"/>
                    <w:jc w:val="both"/>
                  </w:pPr>
                  <w:r>
                    <w:rPr>
                      <w:sz w:val="20"/>
                    </w:rPr>
                    <w:t>针对本次药学数据治理的效果及情况，</w:t>
                  </w:r>
                  <w:r>
                    <w:rPr>
                      <w:sz w:val="20"/>
                    </w:rPr>
                    <w:t>中标人专业</w:t>
                  </w:r>
                  <w:r>
                    <w:rPr>
                      <w:sz w:val="20"/>
                    </w:rPr>
                    <w:t>团队需结合采购人信息化建设的持续性发展给予合理的改造建议，并且针对</w:t>
                  </w:r>
                  <w:r>
                    <w:rPr>
                      <w:sz w:val="20"/>
                    </w:rPr>
                    <w:t>数据</w:t>
                  </w:r>
                  <w:r>
                    <w:rPr>
                      <w:sz w:val="20"/>
                    </w:rPr>
                    <w:t>建设、数据资产化提供发展建议，从而满足后续评审和药学数据应用。</w:t>
                  </w:r>
                </w:p>
              </w:tc>
            </w:tr>
          </w:tbl>
          <w:p>
            <w:pPr>
              <w:pStyle w:val="null3"/>
              <w:jc w:val="both"/>
            </w:pPr>
            <w:r>
              <w:rPr/>
              <w:t>2.</w:t>
            </w:r>
            <w:r>
              <w:rPr/>
              <w:t>基于现有系统的改造服务</w:t>
            </w:r>
          </w:p>
          <w:tbl>
            <w:tblPr>
              <w:tblInd w:type="dxa" w:w="120"/>
              <w:tblBorders>
                <w:top w:val="none" w:color="000000" w:sz="4"/>
                <w:left w:val="none" w:color="000000" w:sz="4"/>
                <w:bottom w:val="none" w:color="000000" w:sz="4"/>
                <w:right w:val="none" w:color="000000" w:sz="4"/>
                <w:insideH w:val="none"/>
                <w:insideV w:val="none"/>
              </w:tblBorders>
            </w:tblPr>
            <w:tblGrid>
              <w:gridCol w:w="909"/>
              <w:gridCol w:w="4689"/>
            </w:tblGrid>
            <w:tr>
              <w:tc>
                <w:tcPr>
                  <w:tcW w:type="dxa" w:w="90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服务模块</w:t>
                  </w:r>
                </w:p>
              </w:tc>
              <w:tc>
                <w:tcPr>
                  <w:tcW w:type="dxa" w:w="468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服务需求</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药学元数据管理改造</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基于《全国公立医疗卫生机构药品使用监测管理标准》《药品数据管理规范》《药学数据集药理学》等标准以及其它药学专业要求，对药学元数据管理系统进行改造，可方便地在标准上扩充，并可以关联不同的应用。</w:t>
                  </w:r>
                </w:p>
                <w:p>
                  <w:pPr>
                    <w:pStyle w:val="null3"/>
                    <w:jc w:val="both"/>
                  </w:pPr>
                  <w:r>
                    <w:rPr>
                      <w:sz w:val="20"/>
                    </w:rPr>
                    <w:t>药学元数据管理系统改造后主要由采集层、标准层、分析层和应用接口层组成。采集层支持各种医疗信息系统内获取元数据，查看元数据的变化和更新。标准层支持保存元数据的标识信息、内容信息与模式信息等；支持将元数据映射到标准集合以及将不同的元数据进行互操作的功能。分析层支持提供对元数据的管理、分析与查询。应用接口层支持提供元数据访问的限制和保护外，同时还服务于各个应用程序。</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药学主数据管理改造</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1.</w:t>
                  </w:r>
                  <w:r>
                    <w:rPr>
                      <w:sz w:val="21"/>
                    </w:rPr>
                    <w:t xml:space="preserve"> </w:t>
                  </w:r>
                  <w:r>
                    <w:rPr>
                      <w:sz w:val="20"/>
                    </w:rPr>
                    <w:t>药学数据元管理改造</w:t>
                  </w:r>
                </w:p>
                <w:p>
                  <w:pPr>
                    <w:pStyle w:val="null3"/>
                    <w:jc w:val="both"/>
                  </w:pPr>
                  <w:r>
                    <w:rPr>
                      <w:sz w:val="20"/>
                    </w:rPr>
                    <w:t>1</w:t>
                  </w:r>
                  <w:r>
                    <w:rPr>
                      <w:sz w:val="20"/>
                    </w:rPr>
                    <w:t>）支持用户管理数据元，提供数据元的上传和下载功能。</w:t>
                  </w:r>
                </w:p>
                <w:p>
                  <w:pPr>
                    <w:pStyle w:val="null3"/>
                    <w:jc w:val="both"/>
                  </w:pPr>
                  <w:r>
                    <w:rPr>
                      <w:sz w:val="20"/>
                    </w:rPr>
                    <w:t>2</w:t>
                  </w:r>
                  <w:r>
                    <w:rPr>
                      <w:sz w:val="20"/>
                    </w:rPr>
                    <w:t>）支持查看每个数据元在不同系统、不同标准下的值域信息。</w:t>
                  </w:r>
                </w:p>
                <w:p>
                  <w:pPr>
                    <w:pStyle w:val="null3"/>
                    <w:jc w:val="both"/>
                  </w:pPr>
                  <w:r>
                    <w:rPr>
                      <w:sz w:val="20"/>
                    </w:rPr>
                    <w:t>3</w:t>
                  </w:r>
                  <w:r>
                    <w:rPr>
                      <w:sz w:val="20"/>
                    </w:rPr>
                    <w:t>）数据元支持字符型、数值型、日期型、布尔型等多种数据类型。</w:t>
                  </w:r>
                </w:p>
                <w:p>
                  <w:pPr>
                    <w:pStyle w:val="null3"/>
                    <w:jc w:val="both"/>
                  </w:pPr>
                  <w:r>
                    <w:rPr>
                      <w:sz w:val="20"/>
                    </w:rPr>
                    <w:t>2.</w:t>
                  </w:r>
                  <w:r>
                    <w:rPr>
                      <w:sz w:val="21"/>
                    </w:rPr>
                    <w:t xml:space="preserve"> </w:t>
                  </w:r>
                  <w:r>
                    <w:rPr>
                      <w:sz w:val="20"/>
                    </w:rPr>
                    <w:t>映射管理改造</w:t>
                  </w:r>
                </w:p>
                <w:p>
                  <w:pPr>
                    <w:pStyle w:val="null3"/>
                    <w:jc w:val="both"/>
                  </w:pPr>
                  <w:r>
                    <w:rPr>
                      <w:sz w:val="20"/>
                    </w:rPr>
                    <w:t>1</w:t>
                  </w:r>
                  <w:r>
                    <w:rPr>
                      <w:sz w:val="20"/>
                    </w:rPr>
                    <w:t>）支持提供主数据对照映射功能，用户可针对院内系统的字段分别对国标、行标、区域上报标准进行手动映射对照操作。</w:t>
                  </w:r>
                </w:p>
                <w:p>
                  <w:pPr>
                    <w:pStyle w:val="null3"/>
                    <w:jc w:val="both"/>
                  </w:pPr>
                  <w:r>
                    <w:rPr>
                      <w:sz w:val="20"/>
                    </w:rPr>
                    <w:t>2</w:t>
                  </w:r>
                  <w:r>
                    <w:rPr>
                      <w:sz w:val="20"/>
                    </w:rPr>
                    <w:t>）支持提供自动匹配映射功能，用户可自由选择名称、编码等字段进行推荐映射。</w:t>
                  </w:r>
                </w:p>
                <w:p>
                  <w:pPr>
                    <w:pStyle w:val="null3"/>
                    <w:jc w:val="both"/>
                  </w:pPr>
                  <w:r>
                    <w:rPr>
                      <w:sz w:val="20"/>
                    </w:rPr>
                    <w:t>3</w:t>
                  </w:r>
                  <w:r>
                    <w:rPr>
                      <w:sz w:val="20"/>
                    </w:rPr>
                    <w:t>）支持提供映射对照信息导入功能，用户可以将整理好的映射数据导入系统，方便操作。</w:t>
                  </w:r>
                </w:p>
                <w:p>
                  <w:pPr>
                    <w:pStyle w:val="null3"/>
                    <w:jc w:val="both"/>
                  </w:pPr>
                  <w:r>
                    <w:rPr>
                      <w:sz w:val="20"/>
                    </w:rPr>
                    <w:t>4</w:t>
                  </w:r>
                  <w:r>
                    <w:rPr>
                      <w:sz w:val="20"/>
                    </w:rPr>
                    <w:t>）支持对院内的药品、检验、检查等基础数据与上报标准的基础数据做单个数据映射、批量自动映射功能。</w:t>
                  </w:r>
                </w:p>
                <w:p>
                  <w:pPr>
                    <w:pStyle w:val="null3"/>
                    <w:jc w:val="both"/>
                  </w:pPr>
                  <w:r>
                    <w:rPr>
                      <w:sz w:val="20"/>
                    </w:rPr>
                    <w:t>5</w:t>
                  </w:r>
                  <w:r>
                    <w:rPr>
                      <w:sz w:val="20"/>
                    </w:rPr>
                    <w:t>）支持提供映射查询接口供第三方系统使用。</w:t>
                  </w:r>
                </w:p>
                <w:p>
                  <w:pPr>
                    <w:pStyle w:val="null3"/>
                    <w:jc w:val="both"/>
                  </w:pPr>
                  <w:r>
                    <w:rPr>
                      <w:sz w:val="20"/>
                    </w:rPr>
                    <w:t>3.</w:t>
                  </w:r>
                  <w:r>
                    <w:rPr>
                      <w:sz w:val="21"/>
                    </w:rPr>
                    <w:t xml:space="preserve"> </w:t>
                  </w:r>
                  <w:r>
                    <w:rPr>
                      <w:sz w:val="20"/>
                    </w:rPr>
                    <w:t>同步分发改造</w:t>
                  </w:r>
                </w:p>
                <w:p>
                  <w:pPr>
                    <w:pStyle w:val="null3"/>
                    <w:jc w:val="both"/>
                  </w:pPr>
                  <w:r>
                    <w:rPr>
                      <w:sz w:val="20"/>
                    </w:rPr>
                    <w:t>1</w:t>
                  </w:r>
                  <w:r>
                    <w:rPr>
                      <w:sz w:val="20"/>
                    </w:rPr>
                    <w:t>）支持提供将数据同步、推送、查询结构配置到服务总线功能。</w:t>
                  </w:r>
                </w:p>
                <w:p>
                  <w:pPr>
                    <w:pStyle w:val="null3"/>
                    <w:jc w:val="both"/>
                  </w:pPr>
                  <w:r>
                    <w:rPr>
                      <w:sz w:val="20"/>
                    </w:rPr>
                    <w:t>2</w:t>
                  </w:r>
                  <w:r>
                    <w:rPr>
                      <w:sz w:val="20"/>
                    </w:rPr>
                    <w:t>）支持用户自定义数据信息的使用方式：全量定时推送、实时变更推送。</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药学数据采集优化</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1</w:t>
                  </w:r>
                  <w:r>
                    <w:rPr>
                      <w:sz w:val="20"/>
                    </w:rPr>
                    <w:t>）支持运用卡片的方式管理每个配置源的详细信息，包括数据类型、</w:t>
                  </w:r>
                  <w:r>
                    <w:rPr>
                      <w:sz w:val="20"/>
                    </w:rPr>
                    <w:t>IP</w:t>
                  </w:r>
                  <w:r>
                    <w:rPr>
                      <w:sz w:val="20"/>
                    </w:rPr>
                    <w:t>主机名等。</w:t>
                  </w:r>
                </w:p>
                <w:p>
                  <w:pPr>
                    <w:pStyle w:val="null3"/>
                    <w:jc w:val="both"/>
                  </w:pPr>
                  <w:r>
                    <w:rPr>
                      <w:sz w:val="20"/>
                    </w:rPr>
                    <w:t>2</w:t>
                  </w:r>
                  <w:r>
                    <w:rPr>
                      <w:sz w:val="20"/>
                    </w:rPr>
                    <w:t>）支持采用</w:t>
                  </w:r>
                  <w:r>
                    <w:rPr>
                      <w:sz w:val="20"/>
                    </w:rPr>
                    <w:t>DataX</w:t>
                  </w:r>
                  <w:r>
                    <w:rPr>
                      <w:sz w:val="20"/>
                    </w:rPr>
                    <w:t>、</w:t>
                  </w:r>
                  <w:r>
                    <w:rPr>
                      <w:sz w:val="20"/>
                    </w:rPr>
                    <w:t>Kettle</w:t>
                  </w:r>
                  <w:r>
                    <w:rPr>
                      <w:sz w:val="20"/>
                    </w:rPr>
                    <w:t>、</w:t>
                  </w:r>
                  <w:r>
                    <w:rPr>
                      <w:sz w:val="20"/>
                    </w:rPr>
                    <w:t>SSIS</w:t>
                  </w:r>
                  <w:r>
                    <w:rPr>
                      <w:sz w:val="20"/>
                    </w:rPr>
                    <w:t>等用于实现离线数据、异构数据间的同步。</w:t>
                  </w:r>
                </w:p>
                <w:p>
                  <w:pPr>
                    <w:pStyle w:val="null3"/>
                    <w:jc w:val="both"/>
                  </w:pPr>
                  <w:r>
                    <w:rPr>
                      <w:sz w:val="20"/>
                    </w:rPr>
                    <w:t>3</w:t>
                  </w:r>
                  <w:r>
                    <w:rPr>
                      <w:sz w:val="20"/>
                    </w:rPr>
                    <w:t>）支持对数据库的表情况进行统一的管理，支持通过表、字段等方式查找需要查找的表和字段明细信息。</w:t>
                  </w:r>
                </w:p>
                <w:p>
                  <w:pPr>
                    <w:pStyle w:val="null3"/>
                    <w:jc w:val="both"/>
                  </w:pPr>
                  <w:r>
                    <w:rPr>
                      <w:sz w:val="20"/>
                    </w:rPr>
                    <w:t>4</w:t>
                  </w:r>
                  <w:r>
                    <w:rPr>
                      <w:sz w:val="20"/>
                    </w:rPr>
                    <w:t>）支持采集调度运行情况的可视化展现，包括数据接入量情况、任务执行情况，实时数据接入的趋势图，任务和流程运行状态分布。</w:t>
                  </w:r>
                </w:p>
                <w:p>
                  <w:pPr>
                    <w:pStyle w:val="null3"/>
                    <w:jc w:val="both"/>
                  </w:pPr>
                  <w:r>
                    <w:rPr>
                      <w:sz w:val="20"/>
                    </w:rPr>
                    <w:t>5</w:t>
                  </w:r>
                  <w:r>
                    <w:rPr>
                      <w:sz w:val="20"/>
                    </w:rPr>
                    <w:t>）支持对页面整体的操作记录日志进行监控，主要包含数据采集、汇聚、处理全过程以及用户行为的日志记录等。</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药学操作性数据存储优化</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1</w:t>
                  </w:r>
                  <w:r>
                    <w:rPr>
                      <w:sz w:val="20"/>
                    </w:rPr>
                    <w:t>）支持统一存储不同时期建设、不同厂商业务信息系统的药学全量数据（历史数据和实时数据）；</w:t>
                  </w:r>
                </w:p>
                <w:p>
                  <w:pPr>
                    <w:pStyle w:val="null3"/>
                    <w:jc w:val="both"/>
                  </w:pPr>
                  <w:r>
                    <w:rPr>
                      <w:sz w:val="20"/>
                    </w:rPr>
                    <w:t>2</w:t>
                  </w:r>
                  <w:r>
                    <w:rPr>
                      <w:sz w:val="20"/>
                    </w:rPr>
                    <w:t>）支持在不改变原有业务系统表结构的基础上实现准实时的数据同步，同时管理各业务系统的基础数据，统一全院的数据来源；</w:t>
                  </w:r>
                </w:p>
                <w:p>
                  <w:pPr>
                    <w:pStyle w:val="null3"/>
                    <w:jc w:val="both"/>
                  </w:pPr>
                  <w:r>
                    <w:rPr>
                      <w:sz w:val="20"/>
                    </w:rPr>
                    <w:t>3</w:t>
                  </w:r>
                  <w:r>
                    <w:rPr>
                      <w:sz w:val="20"/>
                    </w:rPr>
                    <w:t>）支持搭建复制库并复制各个业务系统的数据库，作为后续药学数据治理和建设的基础。</w:t>
                  </w:r>
                </w:p>
                <w:p>
                  <w:pPr>
                    <w:pStyle w:val="null3"/>
                    <w:jc w:val="both"/>
                  </w:pPr>
                  <w:r>
                    <w:rPr>
                      <w:sz w:val="20"/>
                    </w:rPr>
                    <w:t>4</w:t>
                  </w:r>
                  <w:r>
                    <w:rPr>
                      <w:sz w:val="20"/>
                    </w:rPr>
                    <w:t>）支持存储各业务系统中保存的历史药学数据。</w:t>
                  </w:r>
                </w:p>
                <w:p>
                  <w:pPr>
                    <w:pStyle w:val="null3"/>
                    <w:jc w:val="both"/>
                  </w:pPr>
                  <w:r>
                    <w:rPr>
                      <w:sz w:val="20"/>
                    </w:rPr>
                    <w:t>5</w:t>
                  </w:r>
                  <w:r>
                    <w:rPr>
                      <w:sz w:val="20"/>
                    </w:rPr>
                    <w:t>）支持存储各业务系统生产的药学增量数据。</w:t>
                  </w:r>
                </w:p>
                <w:p>
                  <w:pPr>
                    <w:pStyle w:val="null3"/>
                    <w:jc w:val="both"/>
                  </w:pPr>
                  <w:r>
                    <w:rPr>
                      <w:sz w:val="20"/>
                    </w:rPr>
                    <w:t>6</w:t>
                  </w:r>
                  <w:r>
                    <w:rPr>
                      <w:sz w:val="20"/>
                    </w:rPr>
                    <w:t>）支持通过</w:t>
                  </w:r>
                  <w:r>
                    <w:rPr>
                      <w:sz w:val="20"/>
                    </w:rPr>
                    <w:t>OGG</w:t>
                  </w:r>
                  <w:r>
                    <w:rPr>
                      <w:sz w:val="20"/>
                    </w:rPr>
                    <w:t>、</w:t>
                  </w:r>
                  <w:r>
                    <w:rPr>
                      <w:sz w:val="20"/>
                    </w:rPr>
                    <w:t>CDC</w:t>
                  </w:r>
                  <w:r>
                    <w:rPr>
                      <w:sz w:val="20"/>
                    </w:rPr>
                    <w:t>对业务系统进行数据的同步，实现药学业务数据实时捕获到目标数据库；</w:t>
                  </w:r>
                </w:p>
                <w:p>
                  <w:pPr>
                    <w:pStyle w:val="null3"/>
                    <w:jc w:val="both"/>
                  </w:pPr>
                  <w:r>
                    <w:rPr>
                      <w:sz w:val="20"/>
                    </w:rPr>
                    <w:t>7</w:t>
                  </w:r>
                  <w:r>
                    <w:rPr>
                      <w:sz w:val="20"/>
                    </w:rPr>
                    <w:t>）支持</w:t>
                  </w:r>
                  <w:r>
                    <w:rPr>
                      <w:sz w:val="20"/>
                    </w:rPr>
                    <w:t>ETL</w:t>
                  </w:r>
                  <w:r>
                    <w:rPr>
                      <w:sz w:val="20"/>
                    </w:rPr>
                    <w:t>、备份库复制、日志捕获的方式对业务系统进行药学数据的同步，实现业务数据同步到目标数据库；</w:t>
                  </w:r>
                </w:p>
                <w:p>
                  <w:pPr>
                    <w:pStyle w:val="null3"/>
                    <w:jc w:val="both"/>
                  </w:pPr>
                  <w:r>
                    <w:rPr>
                      <w:sz w:val="20"/>
                    </w:rPr>
                    <w:t>8</w:t>
                  </w:r>
                  <w:r>
                    <w:rPr>
                      <w:sz w:val="20"/>
                    </w:rPr>
                    <w:t>）支持对</w:t>
                  </w:r>
                  <w:r>
                    <w:rPr>
                      <w:sz w:val="20"/>
                    </w:rPr>
                    <w:t>ODS</w:t>
                  </w:r>
                  <w:r>
                    <w:rPr>
                      <w:sz w:val="20"/>
                    </w:rPr>
                    <w:t>的药学元数据进行管理，包括数据源、业务表、字段、数据类型等，进行统一管理。</w:t>
                  </w:r>
                </w:p>
                <w:p>
                  <w:pPr>
                    <w:pStyle w:val="null3"/>
                    <w:jc w:val="both"/>
                  </w:pPr>
                  <w:r>
                    <w:rPr>
                      <w:sz w:val="20"/>
                    </w:rPr>
                    <w:t>9</w:t>
                  </w:r>
                  <w:r>
                    <w:rPr>
                      <w:sz w:val="20"/>
                    </w:rPr>
                    <w:t>）支持对</w:t>
                  </w:r>
                  <w:r>
                    <w:rPr>
                      <w:sz w:val="20"/>
                    </w:rPr>
                    <w:t>ODS</w:t>
                  </w:r>
                  <w:r>
                    <w:rPr>
                      <w:sz w:val="20"/>
                    </w:rPr>
                    <w:t>的药学数据进行查阅，包括表查询、数据情况浏览等。</w:t>
                  </w:r>
                </w:p>
                <w:p>
                  <w:pPr>
                    <w:pStyle w:val="null3"/>
                    <w:jc w:val="both"/>
                  </w:pPr>
                  <w:r>
                    <w:rPr>
                      <w:sz w:val="20"/>
                    </w:rPr>
                    <w:t>10</w:t>
                  </w:r>
                  <w:r>
                    <w:rPr>
                      <w:sz w:val="20"/>
                    </w:rPr>
                    <w:t>）支持基于</w:t>
                  </w:r>
                  <w:r>
                    <w:rPr>
                      <w:sz w:val="20"/>
                    </w:rPr>
                    <w:t>SQL</w:t>
                  </w:r>
                  <w:r>
                    <w:rPr>
                      <w:sz w:val="20"/>
                    </w:rPr>
                    <w:t>数据库集群的关系型数据存储。</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药学数据清洗优化</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1</w:t>
                  </w:r>
                  <w:r>
                    <w:rPr>
                      <w:sz w:val="20"/>
                    </w:rPr>
                    <w:t>）支持通过自定义语句的方式对重复数据、冗余数据进行过滤修正</w:t>
                  </w:r>
                </w:p>
                <w:p>
                  <w:pPr>
                    <w:pStyle w:val="null3"/>
                    <w:jc w:val="both"/>
                  </w:pPr>
                  <w:r>
                    <w:rPr>
                      <w:sz w:val="20"/>
                    </w:rPr>
                    <w:t>2</w:t>
                  </w:r>
                  <w:r>
                    <w:rPr>
                      <w:sz w:val="20"/>
                    </w:rPr>
                    <w:t>）对常用的数据转换功能有现成的功能模块支持，无需人工编程实现。拥有丰富的数据转换功能，能满足不同业务需求进行数据转换。提供丰富的数据清洗函数，可以根据音近、字符排列等模式进行自动的数字清洗。数据转换和清洗逻辑支持在</w:t>
                  </w:r>
                  <w:r>
                    <w:rPr>
                      <w:sz w:val="20"/>
                    </w:rPr>
                    <w:t>ETL</w:t>
                  </w:r>
                  <w:r>
                    <w:rPr>
                      <w:sz w:val="20"/>
                    </w:rPr>
                    <w:t>服务器上运行，而不是在数据库端运行，减少对数据库的压力；</w:t>
                  </w:r>
                </w:p>
                <w:p>
                  <w:pPr>
                    <w:pStyle w:val="null3"/>
                    <w:jc w:val="both"/>
                  </w:pPr>
                  <w:r>
                    <w:rPr>
                      <w:sz w:val="20"/>
                    </w:rPr>
                    <w:t>3</w:t>
                  </w:r>
                  <w:r>
                    <w:rPr>
                      <w:sz w:val="20"/>
                    </w:rPr>
                    <w:t>）支持数据清洗从数据的准确性、完整性、一致性、惟一性、适时性、有效性几个方面来处理数据的丢失值、越界值、不一致代码、重复数据等问题。</w:t>
                  </w:r>
                </w:p>
                <w:p>
                  <w:pPr>
                    <w:pStyle w:val="null3"/>
                    <w:jc w:val="both"/>
                  </w:pPr>
                  <w:r>
                    <w:rPr>
                      <w:sz w:val="20"/>
                    </w:rPr>
                    <w:t>4</w:t>
                  </w:r>
                  <w:r>
                    <w:rPr>
                      <w:sz w:val="20"/>
                    </w:rPr>
                    <w:t>）支持清洗残缺数据，这一类数据主要是一些应该有的信息缺失，如业务系统中主表与明细表不能匹配等。</w:t>
                  </w:r>
                </w:p>
                <w:p>
                  <w:pPr>
                    <w:pStyle w:val="null3"/>
                    <w:jc w:val="both"/>
                  </w:pPr>
                  <w:r>
                    <w:rPr>
                      <w:sz w:val="20"/>
                    </w:rPr>
                    <w:t>5</w:t>
                  </w:r>
                  <w:r>
                    <w:rPr>
                      <w:sz w:val="20"/>
                    </w:rPr>
                    <w:t>）支持清洗错误数据，如数值数据输成全角数字字符、字符串数据后面有一个回车操作、日期格式不正确、日期越界等。</w:t>
                  </w:r>
                </w:p>
                <w:p>
                  <w:pPr>
                    <w:pStyle w:val="null3"/>
                    <w:jc w:val="both"/>
                  </w:pPr>
                  <w:r>
                    <w:rPr>
                      <w:sz w:val="20"/>
                    </w:rPr>
                    <w:t>6</w:t>
                  </w:r>
                  <w:r>
                    <w:rPr>
                      <w:sz w:val="20"/>
                    </w:rPr>
                    <w:t>）支持清洗重复数据，可以写入</w:t>
                  </w:r>
                  <w:r>
                    <w:rPr>
                      <w:sz w:val="20"/>
                    </w:rPr>
                    <w:t>Excel</w:t>
                  </w:r>
                  <w:r>
                    <w:rPr>
                      <w:sz w:val="20"/>
                    </w:rPr>
                    <w:t>文件或者将过滤数据写入数据表，以确保数据后续的修正，以及作为验证数据的依据。</w:t>
                  </w:r>
                </w:p>
                <w:p>
                  <w:pPr>
                    <w:pStyle w:val="null3"/>
                    <w:jc w:val="both"/>
                  </w:pPr>
                  <w:r>
                    <w:rPr>
                      <w:sz w:val="20"/>
                    </w:rPr>
                    <w:t>7</w:t>
                  </w:r>
                  <w:r>
                    <w:rPr>
                      <w:sz w:val="20"/>
                    </w:rPr>
                    <w:t>）支持数据清洗时进行数据校验，确保数据过滤的正确性和准确性。</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药学数据转换优化</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1</w:t>
                  </w:r>
                  <w:r>
                    <w:rPr>
                      <w:sz w:val="20"/>
                    </w:rPr>
                    <w:t>）支持对业务字符型、日期、数字等类型数据进行统一的格式转换，保障数据格式的一致性存储；</w:t>
                  </w:r>
                </w:p>
                <w:p>
                  <w:pPr>
                    <w:pStyle w:val="null3"/>
                    <w:jc w:val="both"/>
                  </w:pPr>
                  <w:r>
                    <w:rPr>
                      <w:sz w:val="20"/>
                    </w:rPr>
                    <w:t>2</w:t>
                  </w:r>
                  <w:r>
                    <w:rPr>
                      <w:sz w:val="20"/>
                    </w:rPr>
                    <w:t>）支持对各业务使用的值域，通过药学主数据系统的映射操作进行数据标准化转换。</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药学数据质量管理改造</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w:t>
                  </w:r>
                  <w:r>
                    <w:rPr>
                      <w:sz w:val="20"/>
                    </w:rPr>
                    <w:t>1</w:t>
                  </w:r>
                  <w:r>
                    <w:rPr>
                      <w:sz w:val="20"/>
                    </w:rPr>
                    <w:t>）数据质量实时监控</w:t>
                  </w:r>
                </w:p>
                <w:p>
                  <w:pPr>
                    <w:pStyle w:val="null3"/>
                    <w:jc w:val="both"/>
                  </w:pPr>
                  <w:r>
                    <w:rPr>
                      <w:sz w:val="20"/>
                    </w:rPr>
                    <w:t>主要针对从业务系统抽取的或是从外部传送的接口数据，支持从及时性、有效性和完整性等几个指标监测接口内容本身的数据质量问题。</w:t>
                  </w:r>
                </w:p>
                <w:p>
                  <w:pPr>
                    <w:pStyle w:val="null3"/>
                    <w:jc w:val="both"/>
                  </w:pPr>
                  <w:r>
                    <w:rPr>
                      <w:sz w:val="20"/>
                    </w:rPr>
                    <w:t>（</w:t>
                  </w:r>
                  <w:r>
                    <w:rPr>
                      <w:sz w:val="20"/>
                    </w:rPr>
                    <w:t>2</w:t>
                  </w:r>
                  <w:r>
                    <w:rPr>
                      <w:sz w:val="20"/>
                    </w:rPr>
                    <w:t>）数据质量评估</w:t>
                  </w:r>
                </w:p>
                <w:p>
                  <w:pPr>
                    <w:pStyle w:val="null3"/>
                    <w:jc w:val="both"/>
                  </w:pPr>
                  <w:r>
                    <w:rPr>
                      <w:sz w:val="20"/>
                    </w:rPr>
                    <w:t>支持对融合后的数据进行质量评估。支持确定评价对象和范围着手，选取数据质量维度及评价标准，确定质量测度及评价方法，按照配置的评估指标执行评估，产生权重化的评估结果，最后生成质量结果和报告。</w:t>
                  </w:r>
                </w:p>
                <w:p>
                  <w:pPr>
                    <w:pStyle w:val="null3"/>
                    <w:jc w:val="both"/>
                  </w:pPr>
                  <w:r>
                    <w:rPr>
                      <w:sz w:val="20"/>
                    </w:rPr>
                    <w:t>（</w:t>
                  </w:r>
                  <w:r>
                    <w:rPr>
                      <w:sz w:val="20"/>
                    </w:rPr>
                    <w:t>3</w:t>
                  </w:r>
                  <w:r>
                    <w:rPr>
                      <w:sz w:val="20"/>
                    </w:rPr>
                    <w:t>）数据自动修正</w:t>
                  </w:r>
                </w:p>
                <w:p>
                  <w:pPr>
                    <w:pStyle w:val="null3"/>
                    <w:jc w:val="both"/>
                  </w:pPr>
                  <w:r>
                    <w:rPr>
                      <w:sz w:val="20"/>
                    </w:rPr>
                    <w:t>对于有错误或不一致的数据，部分数据支持进行自动化的探测和更正。</w:t>
                  </w:r>
                </w:p>
              </w:tc>
            </w:tr>
            <w:tr>
              <w:tc>
                <w:tcPr>
                  <w:tcW w:type="dxa" w:w="90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药学数据系统系统改造服务</w:t>
                  </w:r>
                </w:p>
              </w:tc>
              <w:tc>
                <w:tcPr>
                  <w:tcW w:type="dxa" w:w="46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0"/>
                    </w:rPr>
                    <w:t>基于</w:t>
                  </w:r>
                  <w:r>
                    <w:rPr>
                      <w:sz w:val="20"/>
                    </w:rPr>
                    <w:t>中标人专业</w:t>
                  </w:r>
                  <w:r>
                    <w:rPr>
                      <w:sz w:val="20"/>
                    </w:rPr>
                    <w:t>团队提供的业务功能改造方案，如涉及业务系统改造，需完成药学数据相关业务系统包括但不限于电子病历系统、合理用药系统、影像系统、手术麻醉系统、检验系统、输血系统等系统的功能系统改造服务；如电子病历系统对药物治疗医嘱药物的不良反应有上报处理功能，开医嘱医师能够接收到自己处方的点评结果等。</w:t>
                  </w:r>
                </w:p>
              </w:tc>
            </w:tr>
          </w:tbl>
          <w:p>
            <w:pPr>
              <w:pStyle w:val="null3"/>
              <w:jc w:val="both"/>
            </w:pPr>
            <w:r>
              <w:rPr/>
              <w:t>3.</w:t>
            </w:r>
            <w:r>
              <w:rPr/>
              <w:t>项目工期要求</w:t>
            </w:r>
          </w:p>
          <w:p>
            <w:pPr>
              <w:pStyle w:val="null3"/>
              <w:jc w:val="both"/>
            </w:pPr>
            <w:r>
              <w:rPr/>
              <w:t>3.1</w:t>
            </w:r>
            <w:r>
              <w:rPr/>
              <w:t>合同签订之日起</w:t>
            </w:r>
            <w:r>
              <w:rPr/>
              <w:t>6</w:t>
            </w:r>
            <w:r>
              <w:rPr/>
              <w:t>个月内完成药学数据治理服务和基于现有系统的改造服务的提供，由采购人按照相关规定组织最终验收。</w:t>
            </w:r>
          </w:p>
          <w:p>
            <w:pPr>
              <w:pStyle w:val="null3"/>
              <w:jc w:val="both"/>
            </w:pPr>
            <w:r>
              <w:rPr/>
              <w:t>4.</w:t>
            </w:r>
            <w:r>
              <w:rPr/>
              <w:t>服务要求</w:t>
            </w:r>
          </w:p>
          <w:p>
            <w:pPr>
              <w:pStyle w:val="null3"/>
              <w:jc w:val="both"/>
            </w:pPr>
            <w:r>
              <w:rPr/>
              <w:t>4.</w:t>
            </w:r>
            <w:r>
              <w:rPr/>
              <w:t>1.</w:t>
            </w:r>
            <w:r>
              <w:rPr/>
              <w:t>维保</w:t>
            </w:r>
          </w:p>
          <w:p>
            <w:pPr>
              <w:pStyle w:val="null3"/>
              <w:jc w:val="both"/>
            </w:pPr>
            <w:r>
              <w:rPr/>
              <w:t>从项目总体验收合格之日（从双方代表终验签字之日起计算）起，提供一年维保服务</w:t>
            </w:r>
            <w:r>
              <w:rPr/>
              <w:t>，费用已包含在采购预算中，采购人不会再额外支付</w:t>
            </w:r>
            <w:r>
              <w:rPr/>
              <w:t>。</w:t>
            </w:r>
          </w:p>
          <w:p>
            <w:pPr>
              <w:pStyle w:val="null3"/>
              <w:jc w:val="both"/>
            </w:pPr>
            <w:r>
              <w:rPr/>
              <w:t>4.</w:t>
            </w:r>
            <w:r>
              <w:rPr/>
              <w:t>2.</w:t>
            </w:r>
            <w:r>
              <w:rPr/>
              <w:t>项目服务</w:t>
            </w:r>
          </w:p>
          <w:p>
            <w:pPr>
              <w:pStyle w:val="null3"/>
              <w:jc w:val="both"/>
            </w:pPr>
            <w:r>
              <w:rPr/>
              <w:t>保修期和系统技术支持自双方代表在系统验收单上签字之日起计算。保修期内所发生的一切费用包括系统维护或升级、人员交通、差旅服务等费用已包含在投标报价内。</w:t>
            </w:r>
          </w:p>
          <w:p>
            <w:pPr>
              <w:pStyle w:val="null3"/>
              <w:jc w:val="both"/>
            </w:pPr>
            <w:r>
              <w:rPr/>
              <w:t>4.</w:t>
            </w:r>
            <w:r>
              <w:rPr/>
              <w:t>3.</w:t>
            </w:r>
            <w:r>
              <w:rPr/>
              <w:t>项目维护与支持的具体内容</w:t>
            </w:r>
          </w:p>
          <w:p>
            <w:pPr>
              <w:pStyle w:val="null3"/>
              <w:jc w:val="both"/>
            </w:pPr>
            <w:r>
              <w:rPr/>
              <w:t>1.</w:t>
            </w:r>
            <w:r>
              <w:rPr/>
              <w:t>电话支持</w:t>
            </w:r>
            <w:r>
              <w:rPr/>
              <w:t>：</w:t>
            </w:r>
            <w:r>
              <w:rPr/>
              <w:t>7*24</w:t>
            </w:r>
            <w:r>
              <w:rPr/>
              <w:t>小时以热线电话或</w:t>
            </w:r>
            <w:r>
              <w:rPr/>
              <w:t>Email</w:t>
            </w:r>
            <w:r>
              <w:rPr/>
              <w:t>、传真等方式随时回答用户各种数据治理相关问题。</w:t>
            </w:r>
          </w:p>
          <w:p>
            <w:pPr>
              <w:pStyle w:val="null3"/>
              <w:jc w:val="both"/>
            </w:pPr>
            <w:r>
              <w:rPr/>
              <w:t>2.</w:t>
            </w:r>
            <w:r>
              <w:rPr/>
              <w:t>现场服务</w:t>
            </w:r>
            <w:r>
              <w:rPr/>
              <w:t>：</w:t>
            </w:r>
            <w:r>
              <w:rPr/>
              <w:t>安排专家与技术团队现场开展药学数据治理服务和基于现有系统的改造服务相关的开发、实施、服务支持。</w:t>
            </w:r>
          </w:p>
          <w:p>
            <w:pPr>
              <w:pStyle w:val="null3"/>
              <w:jc w:val="both"/>
            </w:pPr>
            <w:r>
              <w:rPr/>
              <w:t>5</w:t>
            </w:r>
            <w:r>
              <w:rPr/>
              <w:t>.</w:t>
            </w:r>
            <w:r>
              <w:rPr/>
              <w:t>其它要求</w:t>
            </w:r>
          </w:p>
          <w:p>
            <w:pPr>
              <w:pStyle w:val="null3"/>
              <w:jc w:val="both"/>
            </w:pPr>
            <w:r>
              <w:rPr/>
              <w:t>5</w:t>
            </w:r>
            <w:r>
              <w:rPr/>
              <w:t>.1.</w:t>
            </w:r>
            <w:r>
              <w:rPr/>
              <w:t>项目人员要求</w:t>
            </w:r>
            <w:r>
              <w:rPr/>
              <w:t xml:space="preserve"> </w:t>
            </w:r>
          </w:p>
          <w:p>
            <w:pPr>
              <w:pStyle w:val="null3"/>
              <w:jc w:val="both"/>
            </w:pPr>
            <w:r>
              <w:rPr/>
              <w:t>（</w:t>
            </w:r>
            <w:r>
              <w:rPr/>
              <w:t>1</w:t>
            </w:r>
            <w:r>
              <w:rPr/>
              <w:t>）中标人应组建一支经验丰富、配合默契且稳定的专业化团队，以保证项目按时、保质完成。</w:t>
            </w:r>
          </w:p>
          <w:p>
            <w:pPr>
              <w:pStyle w:val="null3"/>
              <w:jc w:val="both"/>
            </w:pPr>
            <w:r>
              <w:rPr/>
              <w:t>（</w:t>
            </w:r>
            <w:r>
              <w:rPr/>
              <w:t>2</w:t>
            </w:r>
            <w:r>
              <w:rPr/>
              <w:t>）为使项目按质、按量、按时及有序实施，中标人必须组建一个完善和稳定的项目管理组织机构。</w:t>
            </w:r>
          </w:p>
          <w:p>
            <w:pPr>
              <w:pStyle w:val="null3"/>
              <w:jc w:val="both"/>
            </w:pPr>
            <w:r>
              <w:rPr/>
              <w:t>5</w:t>
            </w:r>
            <w:r>
              <w:rPr/>
              <w:t>.2.</w:t>
            </w:r>
            <w:r>
              <w:rPr/>
              <w:t>培训要求</w:t>
            </w:r>
          </w:p>
          <w:p>
            <w:pPr>
              <w:pStyle w:val="null3"/>
              <w:jc w:val="both"/>
            </w:pPr>
            <w:r>
              <w:rPr/>
              <w:t>5</w:t>
            </w:r>
            <w:r>
              <w:rPr/>
              <w:t>.2.1.</w:t>
            </w:r>
            <w:r>
              <w:rPr/>
              <w:t>培训内容与课程要求</w:t>
            </w:r>
          </w:p>
          <w:p>
            <w:pPr>
              <w:pStyle w:val="null3"/>
              <w:jc w:val="both"/>
            </w:pPr>
            <w:r>
              <w:rPr/>
              <w:t>5</w:t>
            </w:r>
            <w:r>
              <w:rPr/>
              <w:t>.2.1.</w:t>
            </w:r>
            <w:r>
              <w:rPr/>
              <w:t>1.</w:t>
            </w:r>
            <w:r>
              <w:rPr/>
              <w:t>中标人专业团队需围绕数据治理相关内容开展培训，包括数据治理的基本概念、策略制定、组织结构、改造业务流程、系统功能、系统操作、数据安全等内容，提高医疗数据治理能力，进一步保障数据质量、安全和合规性。</w:t>
            </w:r>
          </w:p>
          <w:p>
            <w:pPr>
              <w:pStyle w:val="null3"/>
              <w:jc w:val="both"/>
            </w:pPr>
            <w:r>
              <w:rPr>
                <w:sz w:val="21"/>
              </w:rPr>
              <w:t>5</w:t>
            </w:r>
            <w:r>
              <w:rPr>
                <w:sz w:val="21"/>
              </w:rPr>
              <w:t>.2.1.</w:t>
            </w:r>
            <w:r>
              <w:rPr>
                <w:sz w:val="21"/>
              </w:rPr>
              <w:t>2</w:t>
            </w:r>
            <w:r>
              <w:rPr>
                <w:sz w:val="21"/>
              </w:rPr>
              <w:t>培训所需一切资料由</w:t>
            </w:r>
            <w:r>
              <w:rPr>
                <w:sz w:val="21"/>
              </w:rPr>
              <w:t>中标人</w:t>
            </w:r>
            <w:r>
              <w:rPr>
                <w:sz w:val="21"/>
              </w:rPr>
              <w:t>提供。培训过程中所发生的一切费用（含培训教材费）均包含在报价中</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广东省第二人民医院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020-37816286-821</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话：020-83340570</w:t>
      </w:r>
    </w:p>
    <w:p>
      <w:pPr>
        <w:pStyle w:val="null3"/>
      </w:pPr>
      <w:r>
        <w:rPr/>
        <w:t>邮 编：510030</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广东省第二人民医院药学数据治理服务)：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采购包1（广东省第二人民医院药学数据治理服务）：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采购包1（广东省第二人民医院药学数据治理服务）：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提供2023年度财务状况报告或2024年度财务状况报告；或银行出具的资信证明材料复印件。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采购包1（广东省第二人民医院药学数据治理服务）：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采购包1(广东省第二人民医院药学数据治理服务):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投标人对采购需求中一般技术参数响应情况 (6.0分)</w:t>
            </w:r>
          </w:p>
        </w:tc>
        <w:tc>
          <w:tcPr>
            <w:tcW w:type="dxa" w:w="5076"/>
          </w:tcPr>
          <w:p>
            <w:pPr>
              <w:pStyle w:val="null3"/>
              <w:jc w:val="left"/>
            </w:pPr>
            <w:r>
              <w:rPr/>
              <w:t>一般技术条款的响应情况：根据各投标人对《第二章采购需求》“技术指标参数”中未标注“★”或“▲”的一般技术参数的响应情况进行评审（以每个序号分别作为一项）：一般技术参数条款完全满足或优于的，得6分；每有1项负偏离或不完全满足的扣0.5分，负偏离或不完全满足的超过12项的视为对技术要求有较大偏离，统一得0分。 注：如有明确提供的证明资料，则以要求的为准，未按要求提供证明材料的不得分；如无明确证明材料的，以投标人响应文件中的《技术和服务要求响应表》中的响应情况填写内容为准，未填写或参数不满足的视为负偏离。</w:t>
            </w:r>
          </w:p>
        </w:tc>
      </w:tr>
      <w:tr>
        <w:tc>
          <w:tcPr>
            <w:tcW w:type="dxa" w:w="922"/>
            <w:gridSpan w:val="2"/>
            <w:vMerge/>
          </w:tcPr>
          <w:p/>
        </w:tc>
        <w:tc>
          <w:tcPr>
            <w:tcW w:type="dxa" w:w="2307"/>
          </w:tcPr>
          <w:p>
            <w:pPr>
              <w:pStyle w:val="null3"/>
              <w:jc w:val="left"/>
            </w:pPr>
            <w:r>
              <w:rPr/>
              <w:t>技术创新和安全能力 (8.0分)</w:t>
            </w:r>
          </w:p>
        </w:tc>
        <w:tc>
          <w:tcPr>
            <w:tcW w:type="dxa" w:w="5076"/>
          </w:tcPr>
          <w:p>
            <w:pPr>
              <w:pStyle w:val="null3"/>
              <w:jc w:val="left"/>
            </w:pPr>
            <w:r>
              <w:rPr/>
              <w:t>投标人所提供的技术服务针对快速医疗互操作性资源（FHIR）标准有一定技术能力，并通过HIR最新测试版本“R5”测试场景：术语服务、检查检验、用药医嘱、手术、预约挂号、审计服务、处方流转、表单填报。以上场景每通过一个得1分，满分8分。 注：提供投标人证明材料复印件加盖投标人公章，未提供或提供的版本不符合要求不得分。</w:t>
            </w:r>
          </w:p>
        </w:tc>
      </w:tr>
      <w:tr>
        <w:tc>
          <w:tcPr>
            <w:tcW w:type="dxa" w:w="922"/>
            <w:gridSpan w:val="2"/>
            <w:vMerge/>
          </w:tcPr>
          <w:p/>
        </w:tc>
        <w:tc>
          <w:tcPr>
            <w:tcW w:type="dxa" w:w="2307"/>
          </w:tcPr>
          <w:p>
            <w:pPr>
              <w:pStyle w:val="null3"/>
              <w:jc w:val="left"/>
            </w:pPr>
            <w:r>
              <w:rPr/>
              <w:t>总体技术方案 (12.0分)</w:t>
            </w:r>
          </w:p>
        </w:tc>
        <w:tc>
          <w:tcPr>
            <w:tcW w:type="dxa" w:w="5076"/>
          </w:tcPr>
          <w:p>
            <w:pPr>
              <w:pStyle w:val="null3"/>
              <w:jc w:val="left"/>
            </w:pPr>
            <w:r>
              <w:rPr/>
              <w:t>1.根据投标人针对本项目“采购需求”提供的现状分析方案进行评分：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2.根据投标人针对本项目“采购需求”提供的需求分析方案进行评分：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3.根据投标人针对本项目“采购需求”提供的总体设计方案进行评分：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4.根据投标人针对本项目“采购需求”提供的实现思路方案进行评分：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5.根据投标人针对本项目“采购需求”提供的建设方案进行评分： ①方案完整、详细、表述清晰、科学合理、切实可行，完全满足或优于采购需求，得2分； ②方案基本完整、较详细、表述比较清晰、合理、基本可行的，基本符合采购需求，得1分； ③方案较粗略，但方案内容部分满足采购需求，得0.5分； 没有提供方案或不满足采购需求、难以判断可行的不得分。</w:t>
            </w:r>
          </w:p>
        </w:tc>
      </w:tr>
      <w:tr>
        <w:tc>
          <w:tcPr>
            <w:tcW w:type="dxa" w:w="922"/>
            <w:gridSpan w:val="2"/>
            <w:vMerge/>
          </w:tcPr>
          <w:p/>
        </w:tc>
        <w:tc>
          <w:tcPr>
            <w:tcW w:type="dxa" w:w="2307"/>
          </w:tcPr>
          <w:p>
            <w:pPr>
              <w:pStyle w:val="null3"/>
              <w:jc w:val="left"/>
            </w:pPr>
            <w:r>
              <w:rPr/>
              <w:t>实施方案 (8.0分)</w:t>
            </w:r>
          </w:p>
        </w:tc>
        <w:tc>
          <w:tcPr>
            <w:tcW w:type="dxa" w:w="5076"/>
          </w:tcPr>
          <w:p>
            <w:pPr>
              <w:pStyle w:val="null3"/>
              <w:jc w:val="left"/>
            </w:pPr>
            <w:r>
              <w:rPr/>
              <w:t>1.根据投标人针对本项目“采购需求”提供的实施组织方案进行评分： ①方案完整、详细、表述清晰、科学合理、切实可行，完全满足或优于采购需求，得2分； ②方案基本完整、较详细、表述比较清晰、合理、基本可行的，基本符合采购需求，得1分； ③方案较粗略，但方案内容部分满足采购需求，得0.5分； 2.根据投标人针对本项目“采购需求”提供的进度工期方案进行评分： ①方案完整、详细、表述清晰、科学合理、切实可行，完全满足或优于采购需求，得2分； ②方案基本完整、较详细、表述比较清晰、合理、基本可行的，基本符合采购需求，得1分； ③方案较粗略，但方案内容部分满足采购需求，得0.5分； 3.根据投标人针对本项目“采购需求”提供的进度安排方案进行评分： ①方案完整、详细、表述清晰、科学合理、切实可行，完全满足或优于采购需求，得2分； ②方案基本完整、较详细、表述比较清晰、合理、基本可行的，基本符合采购需求，得1分； ③方案较粗略，但方案内容部分满足采购需求，得0.5分； 4.根据投标人针对本项目“采购需求”提供的风险管理方案进行评分： ①方案完整、详细、表述清晰、科学合理、切实可行，完全满足或优于采购需求，得2分； ②方案基本完整、较详细、表述比较清晰、合理、基本可行的，基本符合采购需求，得1分； ③方案较粗略，但方案内容部分满足采购需求，得0.5分； 没有提供方案或不满足采购需求、难以判断可行的不得分。</w:t>
            </w:r>
          </w:p>
        </w:tc>
      </w:tr>
      <w:tr>
        <w:tc>
          <w:tcPr>
            <w:tcW w:type="dxa" w:w="922"/>
            <w:gridSpan w:val="2"/>
            <w:vMerge/>
          </w:tcPr>
          <w:p/>
        </w:tc>
        <w:tc>
          <w:tcPr>
            <w:tcW w:type="dxa" w:w="2307"/>
          </w:tcPr>
          <w:p>
            <w:pPr>
              <w:pStyle w:val="null3"/>
              <w:jc w:val="left"/>
            </w:pPr>
            <w:r>
              <w:rPr/>
              <w:t>项目质量保障方案 (5.0分)</w:t>
            </w:r>
          </w:p>
        </w:tc>
        <w:tc>
          <w:tcPr>
            <w:tcW w:type="dxa" w:w="5076"/>
          </w:tcPr>
          <w:p>
            <w:pPr>
              <w:pStyle w:val="null3"/>
              <w:jc w:val="left"/>
            </w:pPr>
            <w:r>
              <w:rPr/>
              <w:t>1.根据投标人针对本项目“采购需求”提供的保障思想方案进行评分：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2.根据投标人针对本项目“采购需求”提供的保障措施方案进行评分： ①方案完整、详细、表述清晰、科学合理、切实可行，完全满足或优于采购需求，得2.5分； ②方案基本完整、较详细、表述比较清晰、合理、基本可行的，基本符合采购需求，得1.5分； ③方案较粗略，但方案内容部分满足采购需求，得0.5分； 没有提供方案或不满足采购需求、难以判断可行的不得分。</w:t>
            </w:r>
          </w:p>
        </w:tc>
      </w:tr>
      <w:tr>
        <w:tc>
          <w:tcPr>
            <w:tcW w:type="dxa" w:w="922"/>
            <w:gridSpan w:val="2"/>
            <w:vMerge/>
          </w:tcPr>
          <w:p/>
        </w:tc>
        <w:tc>
          <w:tcPr>
            <w:tcW w:type="dxa" w:w="2307"/>
          </w:tcPr>
          <w:p>
            <w:pPr>
              <w:pStyle w:val="null3"/>
              <w:jc w:val="left"/>
            </w:pPr>
            <w:r>
              <w:rPr/>
              <w:t>培训方案 (5.0分)</w:t>
            </w:r>
          </w:p>
        </w:tc>
        <w:tc>
          <w:tcPr>
            <w:tcW w:type="dxa" w:w="5076"/>
          </w:tcPr>
          <w:p>
            <w:pPr>
              <w:pStyle w:val="null3"/>
              <w:jc w:val="left"/>
            </w:pPr>
            <w:r>
              <w:rPr/>
              <w:t>1.根据投标人针对本项目“采购需求”提供的预期培训成果进行评分： ①方案优于或完全符合采购需求，方案内容详细、科学合理，得2分； ②方案完全符合采购需求，方案内容较详细、较科学合理，得1分； ③方案基本符合采购需求，方案内容详细程度一般、合理性一般，得0.5分； 2.根据投标人针对本项目“采购需求”提供的培训计划、培训内容、方法和方式、培训地点进行评分： ①方案优于或完全符合采购需求，方案内容详细、科学合理，得3分； ②方案完全符合采购需求，方案内容较详细、较科学合理，得2分； ③方案基本符合采购需求，方案内容详细程度一般、合理性一般，得1分； 没有提供方案或其被评定为不可行的不得分。</w:t>
            </w:r>
          </w:p>
        </w:tc>
      </w:tr>
      <w:tr>
        <w:tc>
          <w:tcPr>
            <w:tcW w:type="dxa" w:w="922"/>
            <w:gridSpan w:val="2"/>
            <w:vMerge/>
          </w:tcPr>
          <w:p/>
        </w:tc>
        <w:tc>
          <w:tcPr>
            <w:tcW w:type="dxa" w:w="2307"/>
          </w:tcPr>
          <w:p>
            <w:pPr>
              <w:pStyle w:val="null3"/>
              <w:jc w:val="left"/>
            </w:pPr>
            <w:r>
              <w:rPr/>
              <w:t>售后服务方案 (6.0分)</w:t>
            </w:r>
          </w:p>
        </w:tc>
        <w:tc>
          <w:tcPr>
            <w:tcW w:type="dxa" w:w="5076"/>
          </w:tcPr>
          <w:p>
            <w:pPr>
              <w:pStyle w:val="null3"/>
              <w:jc w:val="left"/>
            </w:pPr>
            <w:r>
              <w:rPr/>
              <w:t>1.根据投标人针对本项目“采购需求”提供的服务内容、维修（维护）响应时间进行评分： ①方案完整、详细、表述清晰、科学合理、切实可行，完全满足或优于采购需求，得2分； ②方案基本完整、较详细、表述比较清晰、合理、基本可行的，基本符合采购需求，得1分； ③方案较粗略，但方案内容部分满足采购需求，得0.5分； 2.根据投标人针对本项目“采购需求”提供的服务流程、服务方式进行评分： ①方案完整、详细、表述清晰、科学合理、切实可行，完全满足或优于采购需求，得2分； ②方案基本完整、较详细、表述比较清晰、合理、基本可行的，基本符合采购需求，得1分； ③方案较粗略，但方案内容部分满足采购需求，得0.5分； 3.根据投标人针对本项目“采购需求”提供的售后保障措施进行评分： ①方案完整、详细、表述清晰、科学合理、切实可行，完全满足或优于采购需求，得2分； ②方案基本完整、较详细、表述比较清晰、合理、基本可行的，基本符合采购需求，得1分； ③方案较粗略，但方案内容部分满足采购需求，得0.5分； 没有提供方案或不满足采购需求、难以判断可行的不得分。</w:t>
            </w:r>
          </w:p>
        </w:tc>
      </w:tr>
      <w:tr>
        <w:tc>
          <w:tcPr>
            <w:tcW w:type="dxa" w:w="922"/>
            <w:gridSpan w:val="2"/>
            <w:vMerge w:val="restart"/>
          </w:tcPr>
          <w:p>
            <w:pPr>
              <w:pStyle w:val="null3"/>
              <w:jc w:val="center"/>
            </w:pPr>
            <w:r>
              <w:rPr/>
              <w:t>商务部分</w:t>
            </w:r>
          </w:p>
        </w:tc>
        <w:tc>
          <w:tcPr>
            <w:tcW w:type="dxa" w:w="2307"/>
          </w:tcPr>
          <w:p>
            <w:pPr>
              <w:pStyle w:val="null3"/>
              <w:jc w:val="left"/>
            </w:pPr>
            <w:r>
              <w:rPr/>
              <w:t>标准体系认证 (6.0分)</w:t>
            </w:r>
          </w:p>
        </w:tc>
        <w:tc>
          <w:tcPr>
            <w:tcW w:type="dxa" w:w="5076"/>
          </w:tcPr>
          <w:p>
            <w:pPr>
              <w:pStyle w:val="null3"/>
              <w:jc w:val="left"/>
            </w:pPr>
            <w:r>
              <w:rPr/>
              <w:t>投标人具有： ①ISO9001质量管理体系认证证书； ②ISO20000信息技术服务管理体系认证证书； ③ISO38505数据治理管理体系认证证书； ④ISO27701隐私信息安全管理体系认证证书； ⑤ISO14001环境管理体系认证证书； ⑥ISO45001职业健康安全管理体系认证证书； 所有证书认证覆盖的业务范围须与项目相关（包含类似“软件或系统+开发”内容），每提供一项证书得1分，本项最高得6分。 注：1.需同时提供认证证书复印件或图片和打印网站（http://cx.cnca.cn/）公布的链接信息资料,如公开信息中无法查询或与公开信息不一致的，投标人必须提供发证机构出具的证明函。2.如因供应商成立时间原因导致无法获得上述评价的，按对应得分，供应商须进行说明。</w:t>
            </w:r>
          </w:p>
        </w:tc>
      </w:tr>
      <w:tr>
        <w:tc>
          <w:tcPr>
            <w:tcW w:type="dxa" w:w="922"/>
            <w:gridSpan w:val="2"/>
            <w:vMerge/>
          </w:tcPr>
          <w:p/>
        </w:tc>
        <w:tc>
          <w:tcPr>
            <w:tcW w:type="dxa" w:w="2307"/>
          </w:tcPr>
          <w:p>
            <w:pPr>
              <w:pStyle w:val="null3"/>
              <w:jc w:val="left"/>
            </w:pPr>
            <w:r>
              <w:rPr/>
              <w:t>项目组人员技术能力 (10.0分)</w:t>
            </w:r>
          </w:p>
        </w:tc>
        <w:tc>
          <w:tcPr>
            <w:tcW w:type="dxa" w:w="5076"/>
          </w:tcPr>
          <w:p>
            <w:pPr>
              <w:pStyle w:val="null3"/>
              <w:jc w:val="left"/>
            </w:pPr>
            <w:r>
              <w:rPr/>
              <w:t>投标人须为本项目配备具备一名丰富管理经验的项目经理，要求如下： ①具备信息管理相关专业背景的，提供相关学历证书的得2分； ②具备计算机技术与软件专业技术资格-信息系统项目管理师证书得2分； 注：提供项目经理的相关学历证书、资质证书、劳动合同证明复印件加盖公章。 2.投标人配备的项目团队人员中（不含项目经理）具有计算机技术与软件专业技术资格中：软件设计师证书、系统架构设计师证书、数据库系统工程师，每有1人具备上述证书得2分，本项最高得6分。（同一人多个证书不重复得分）。 注：提供项目团队成员的学历证书、资质证书、劳动合同证明复印件加盖投标人公章。</w:t>
            </w:r>
          </w:p>
        </w:tc>
      </w:tr>
      <w:tr>
        <w:tc>
          <w:tcPr>
            <w:tcW w:type="dxa" w:w="922"/>
            <w:gridSpan w:val="2"/>
            <w:vMerge/>
          </w:tcPr>
          <w:p/>
        </w:tc>
        <w:tc>
          <w:tcPr>
            <w:tcW w:type="dxa" w:w="2307"/>
          </w:tcPr>
          <w:p>
            <w:pPr>
              <w:pStyle w:val="null3"/>
              <w:jc w:val="left"/>
            </w:pPr>
            <w:r>
              <w:rPr/>
              <w:t>运维标准符合度 (3.0分)</w:t>
            </w:r>
          </w:p>
        </w:tc>
        <w:tc>
          <w:tcPr>
            <w:tcW w:type="dxa" w:w="5076"/>
          </w:tcPr>
          <w:p>
            <w:pPr>
              <w:pStyle w:val="null3"/>
              <w:jc w:val="left"/>
            </w:pPr>
            <w:r>
              <w:rPr/>
              <w:t>投标人具有ITSS信息技术服务运行维护标准符合性证书得3分，其他不得分。 注：1.提供证书复印件及“信息技术服务标准ITSS官网”（https://www.itss.cn/）对证书的信息查询截图加盖投标人公章，未提供不得分。2.如因供应商成立时间原因导致无法获得上述证书的，按对应得分，供应商须进行说明。</w:t>
            </w:r>
          </w:p>
        </w:tc>
      </w:tr>
      <w:tr>
        <w:tc>
          <w:tcPr>
            <w:tcW w:type="dxa" w:w="922"/>
            <w:gridSpan w:val="2"/>
            <w:vMerge/>
          </w:tcPr>
          <w:p/>
        </w:tc>
        <w:tc>
          <w:tcPr>
            <w:tcW w:type="dxa" w:w="2307"/>
          </w:tcPr>
          <w:p>
            <w:pPr>
              <w:pStyle w:val="null3"/>
              <w:jc w:val="left"/>
            </w:pPr>
            <w:r>
              <w:rPr/>
              <w:t>类似业绩评价 (9.0分)</w:t>
            </w:r>
          </w:p>
        </w:tc>
        <w:tc>
          <w:tcPr>
            <w:tcW w:type="dxa" w:w="5076"/>
          </w:tcPr>
          <w:p>
            <w:pPr>
              <w:pStyle w:val="null3"/>
              <w:jc w:val="left"/>
            </w:pPr>
            <w:r>
              <w:rPr/>
              <w:t>根据投标人提供的自2023年01月01日起至本项目提交投标文件截止时间止类似业绩进行评价,每提供1项业绩合同的得1分，满分9分。 【本项评分以投标人提供合同关键页（包括采购内容、签约日期、双方盖章）为评审依据。没有业绩或没有按要求提供证明材料的不得分。】 每提供1个业绩得1分，本项最高得9分。</w:t>
            </w:r>
          </w:p>
        </w:tc>
      </w:tr>
      <w:tr>
        <w:tc>
          <w:tcPr>
            <w:tcW w:type="dxa" w:w="922"/>
            <w:gridSpan w:val="2"/>
            <w:vMerge/>
          </w:tcPr>
          <w:p/>
        </w:tc>
        <w:tc>
          <w:tcPr>
            <w:tcW w:type="dxa" w:w="2307"/>
          </w:tcPr>
          <w:p>
            <w:pPr>
              <w:pStyle w:val="null3"/>
              <w:jc w:val="left"/>
            </w:pPr>
            <w:r>
              <w:rPr/>
              <w:t>技术实力 (12.0分)</w:t>
            </w:r>
          </w:p>
        </w:tc>
        <w:tc>
          <w:tcPr>
            <w:tcW w:type="dxa" w:w="5076"/>
          </w:tcPr>
          <w:p>
            <w:pPr>
              <w:pStyle w:val="null3"/>
              <w:jc w:val="left"/>
            </w:pPr>
            <w:r>
              <w:rPr/>
              <w:t>1.投标人具有数据交易相关机构颁发的数据咨询、治理、开发、交付证书的或与以上能力相关的成功案例，每提供一个证书或案例得2分，满分8分。 注：提供证书复印件或案例证明文件加盖投标人公章。 2. 投标人具有信息数据治理及数据质量管理分析、数据采集、医疗数据自动化ELT、 医学术语及标准化管理相关的计算机软件著作权登记证书，每提供一个证书得1分，满分4分。 注：提供投标人的软件著作权登记证书复印件加盖投标人公章，所登记的软件著作权名称可以与上述名称略有不同，但必须是功能相同（类似）的产品。</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jc w:val="center"/>
      </w:pPr>
      <w:r>
        <w:rPr>
          <w:sz w:val="21"/>
        </w:rPr>
        <w:t xml:space="preserve"> </w:t>
      </w:r>
      <w:r>
        <w:rPr>
          <w:sz w:val="24"/>
          <w:b/>
        </w:rPr>
        <w:t>（注：本合同仅为合同的参考文本，合同签订双方可根据项目的具体要求进行修订，但不得偏离实质性条款。）</w:t>
      </w:r>
    </w:p>
    <w:p>
      <w:pPr>
        <w:pStyle w:val="null3"/>
        <w:jc w:val="both"/>
      </w:pPr>
      <w:r>
        <w:rPr/>
        <w:t xml:space="preserve"> </w:t>
      </w:r>
    </w:p>
    <w:p>
      <w:pPr>
        <w:pStyle w:val="null3"/>
        <w:jc w:val="left"/>
      </w:pPr>
      <w:r>
        <w:rPr>
          <w:sz w:val="24"/>
          <w:b/>
        </w:rPr>
        <w:t>甲方：</w:t>
      </w:r>
      <w:r>
        <w:rPr>
          <w:sz w:val="24"/>
          <w:b/>
        </w:rPr>
        <w:t xml:space="preserve"> </w:t>
      </w:r>
      <w:r>
        <w:rPr>
          <w:sz w:val="24"/>
          <w:b/>
        </w:rPr>
        <w:t>广东省第二人民医院</w:t>
      </w:r>
    </w:p>
    <w:p>
      <w:pPr>
        <w:pStyle w:val="null3"/>
        <w:jc w:val="left"/>
      </w:pPr>
      <w:r>
        <w:rPr>
          <w:sz w:val="24"/>
        </w:rPr>
        <w:t>电话：</w:t>
      </w:r>
      <w:r>
        <w:rPr>
          <w:sz w:val="24"/>
        </w:rPr>
        <w:t xml:space="preserve"> </w:t>
      </w:r>
      <w:r>
        <w:rPr>
          <w:sz w:val="24"/>
          <w:u w:val="single"/>
        </w:rPr>
        <w:t xml:space="preserve">   </w:t>
      </w:r>
      <w:r>
        <w:rPr>
          <w:sz w:val="24"/>
        </w:rPr>
        <w:t>传真</w:t>
      </w:r>
      <w:r>
        <w:rPr>
          <w:sz w:val="24"/>
        </w:rPr>
        <w:t xml:space="preserve"> ： </w:t>
      </w:r>
      <w:r>
        <w:rPr>
          <w:sz w:val="24"/>
          <w:u w:val="single"/>
        </w:rPr>
        <w:t xml:space="preserve">   </w:t>
      </w:r>
      <w:r>
        <w:rPr>
          <w:sz w:val="24"/>
        </w:rPr>
        <w:t>地址：</w:t>
      </w:r>
      <w:r>
        <w:rPr>
          <w:sz w:val="24"/>
        </w:rPr>
        <w:t xml:space="preserve"> </w:t>
      </w:r>
      <w:r>
        <w:rPr>
          <w:sz w:val="24"/>
          <w:u w:val="single"/>
        </w:rPr>
        <w:t xml:space="preserve">     </w:t>
      </w:r>
    </w:p>
    <w:p>
      <w:pPr>
        <w:pStyle w:val="null3"/>
        <w:jc w:val="left"/>
      </w:pPr>
      <w:r>
        <w:rPr>
          <w:sz w:val="24"/>
          <w:b/>
        </w:rPr>
        <w:t>乙方：</w:t>
      </w:r>
      <w:r>
        <w:rPr>
          <w:sz w:val="24"/>
          <w:b/>
        </w:rPr>
        <w:t xml:space="preserve"> </w:t>
      </w:r>
      <w:r>
        <w:rPr>
          <w:sz w:val="24"/>
          <w:u w:val="single"/>
        </w:rPr>
        <w:t xml:space="preserve">   </w:t>
      </w:r>
    </w:p>
    <w:p>
      <w:pPr>
        <w:pStyle w:val="null3"/>
        <w:jc w:val="left"/>
      </w:pPr>
      <w:r>
        <w:rPr>
          <w:sz w:val="24"/>
        </w:rPr>
        <w:t>电话：</w:t>
      </w:r>
      <w:r>
        <w:rPr>
          <w:sz w:val="24"/>
        </w:rPr>
        <w:t xml:space="preserve"> </w:t>
      </w:r>
      <w:r>
        <w:rPr>
          <w:sz w:val="24"/>
          <w:u w:val="single"/>
        </w:rPr>
        <w:t xml:space="preserve">    </w:t>
      </w:r>
      <w:r>
        <w:rPr>
          <w:sz w:val="24"/>
        </w:rPr>
        <w:t>传真：</w:t>
      </w:r>
      <w:r>
        <w:rPr>
          <w:sz w:val="24"/>
          <w:u w:val="single"/>
        </w:rPr>
        <w:t xml:space="preserve">     </w:t>
      </w:r>
      <w:r>
        <w:rPr>
          <w:sz w:val="24"/>
        </w:rPr>
        <w:t>地址：</w:t>
      </w:r>
      <w:r>
        <w:rPr>
          <w:sz w:val="24"/>
        </w:rPr>
        <w:t xml:space="preserve"> </w:t>
      </w:r>
      <w:r>
        <w:rPr>
          <w:sz w:val="24"/>
          <w:u w:val="single"/>
        </w:rPr>
        <w:t xml:space="preserve">    </w:t>
      </w:r>
    </w:p>
    <w:p>
      <w:pPr>
        <w:pStyle w:val="null3"/>
        <w:jc w:val="left"/>
      </w:pPr>
      <w:r>
        <w:rPr>
          <w:sz w:val="24"/>
        </w:rPr>
        <w:t xml:space="preserve"> </w:t>
      </w:r>
    </w:p>
    <w:p>
      <w:pPr>
        <w:pStyle w:val="null3"/>
        <w:ind w:firstLine="480"/>
      </w:pPr>
      <w:r>
        <w:rPr>
          <w:sz w:val="21"/>
        </w:rPr>
        <w:t>根据项目的采购结果，参照《中华人民共和国民法典》的相关规定，经双方协商，本着平等互利和诚实信用的原则，一致同意签订本合同如下。</w:t>
      </w:r>
    </w:p>
    <w:p>
      <w:pPr>
        <w:pStyle w:val="null3"/>
        <w:jc w:val="both"/>
      </w:pPr>
      <w:r>
        <w:rPr>
          <w:sz w:val="21"/>
        </w:rPr>
        <w:t>一、采购标的、数量</w:t>
      </w:r>
    </w:p>
    <w:tbl>
      <w:tblPr>
        <w:tblW w:w="0" w:type="auto"/>
        <w:tblBorders>
          <w:top w:val="none" w:color="000000" w:sz="4"/>
          <w:left w:val="none" w:color="000000" w:sz="4"/>
          <w:bottom w:val="none" w:color="000000" w:sz="4"/>
          <w:right w:val="none" w:color="000000" w:sz="4"/>
          <w:insideH w:val="none"/>
          <w:insideV w:val="none"/>
        </w:tblBorders>
      </w:tblPr>
      <w:tblGrid>
        <w:gridCol w:w="799"/>
        <w:gridCol w:w="3234"/>
        <w:gridCol w:w="1408"/>
        <w:gridCol w:w="2866"/>
      </w:tblGrid>
      <w:tr>
        <w:tc>
          <w:tcPr>
            <w:tcW w:type="dxa" w:w="799"/>
            <w:tcBorders>
              <w:top w:val="single" w:color="000000" w:sz="8"/>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21"/>
                <w:b/>
              </w:rPr>
              <w:t>序号</w:t>
            </w:r>
          </w:p>
        </w:tc>
        <w:tc>
          <w:tcPr>
            <w:tcW w:type="dxa" w:w="3234"/>
            <w:tcBorders>
              <w:top w:val="single" w:color="000000" w:sz="8"/>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rPr>
              <w:t>采购标的</w:t>
            </w:r>
          </w:p>
        </w:tc>
        <w:tc>
          <w:tcPr>
            <w:tcW w:type="dxa" w:w="1408"/>
            <w:tcBorders>
              <w:top w:val="single" w:color="000000" w:sz="8"/>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rPr>
              <w:t>数量</w:t>
            </w:r>
          </w:p>
        </w:tc>
        <w:tc>
          <w:tcPr>
            <w:tcW w:type="dxa" w:w="2866"/>
            <w:tcBorders>
              <w:top w:val="single" w:color="000000" w:sz="8"/>
              <w:left w:val="single" w:color="000000" w:sz="4"/>
              <w:bottom w:val="single" w:color="000000" w:sz="4"/>
              <w:right w:val="single" w:color="000000" w:sz="8"/>
            </w:tcBorders>
            <w:tcMar>
              <w:top w:type="dxa" w:w="0"/>
              <w:left w:type="dxa" w:w="105"/>
              <w:bottom w:type="dxa" w:w="0"/>
              <w:right w:type="dxa" w:w="105"/>
            </w:tcMar>
            <w:vAlign w:val="top"/>
          </w:tcPr>
          <w:p>
            <w:pPr>
              <w:pStyle w:val="null3"/>
              <w:jc w:val="center"/>
            </w:pPr>
            <w:r>
              <w:rPr>
                <w:sz w:val="21"/>
                <w:b/>
              </w:rPr>
              <w:t>维保期</w:t>
            </w:r>
          </w:p>
        </w:tc>
      </w:tr>
      <w:tr>
        <w:tc>
          <w:tcPr>
            <w:tcW w:type="dxa" w:w="799"/>
            <w:tcBorders>
              <w:top w:val="single" w:color="000000" w:sz="4"/>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c>
          <w:tcPr>
            <w:tcW w:type="dxa" w:w="323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left"/>
            </w:pPr>
          </w:p>
        </w:tc>
        <w:tc>
          <w:tcPr>
            <w:tcW w:type="dxa" w:w="140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2866"/>
            <w:tcBorders>
              <w:top w:val="single" w:color="000000" w:sz="4"/>
              <w:left w:val="single" w:color="000000" w:sz="4"/>
              <w:bottom w:val="single" w:color="000000" w:sz="4"/>
              <w:right w:val="single" w:color="000000" w:sz="8"/>
            </w:tcBorders>
            <w:tcMar>
              <w:top w:type="dxa" w:w="0"/>
              <w:left w:type="dxa" w:w="105"/>
              <w:bottom w:type="dxa" w:w="0"/>
              <w:right w:type="dxa" w:w="105"/>
            </w:tcMar>
            <w:vAlign w:val="top"/>
          </w:tcPr>
          <w:p/>
        </w:tc>
      </w:tr>
      <w:tr>
        <w:tc>
          <w:tcPr>
            <w:tcW w:type="dxa" w:w="799"/>
            <w:tcBorders>
              <w:top w:val="single" w:color="000000" w:sz="4"/>
              <w:left w:val="single" w:color="000000" w:sz="8"/>
              <w:bottom w:val="single" w:color="000000" w:sz="8"/>
              <w:right w:val="single" w:color="000000" w:sz="4"/>
            </w:tcBorders>
            <w:tcMar>
              <w:top w:type="dxa" w:w="0"/>
              <w:left w:type="dxa" w:w="105"/>
              <w:bottom w:type="dxa" w:w="0"/>
              <w:right w:type="dxa" w:w="105"/>
            </w:tcMar>
            <w:vAlign w:val="top"/>
          </w:tcPr>
          <w:p>
            <w:pPr>
              <w:pStyle w:val="null3"/>
              <w:jc w:val="center"/>
            </w:pPr>
            <w:r>
              <w:rPr>
                <w:sz w:val="21"/>
              </w:rPr>
              <w:t>2</w:t>
            </w:r>
          </w:p>
        </w:tc>
        <w:tc>
          <w:tcPr>
            <w:tcW w:type="dxa" w:w="3234"/>
            <w:tcBorders>
              <w:top w:val="single" w:color="000000" w:sz="4"/>
              <w:left w:val="single" w:color="000000" w:sz="4"/>
              <w:bottom w:val="single" w:color="000000" w:sz="8"/>
              <w:right w:val="single" w:color="000000" w:sz="4"/>
            </w:tcBorders>
            <w:tcMar>
              <w:top w:type="dxa" w:w="0"/>
              <w:left w:type="dxa" w:w="105"/>
              <w:bottom w:type="dxa" w:w="0"/>
              <w:right w:type="dxa" w:w="105"/>
            </w:tcMar>
            <w:vAlign w:val="top"/>
          </w:tcPr>
          <w:p>
            <w:pPr>
              <w:pStyle w:val="null3"/>
              <w:spacing w:before="150" w:after="150"/>
              <w:ind w:left="420"/>
              <w:jc w:val="left"/>
            </w:pPr>
          </w:p>
        </w:tc>
        <w:tc>
          <w:tcPr>
            <w:tcW w:type="dxa" w:w="1408"/>
            <w:tcBorders>
              <w:top w:val="single" w:color="000000" w:sz="4"/>
              <w:left w:val="single" w:color="000000" w:sz="4"/>
              <w:bottom w:val="single" w:color="000000" w:sz="8"/>
              <w:right w:val="single" w:color="000000" w:sz="4"/>
            </w:tcBorders>
            <w:tcMar>
              <w:top w:type="dxa" w:w="0"/>
              <w:left w:type="dxa" w:w="105"/>
              <w:bottom w:type="dxa" w:w="0"/>
              <w:right w:type="dxa" w:w="105"/>
            </w:tcMar>
            <w:vAlign w:val="top"/>
          </w:tcPr>
          <w:p/>
        </w:tc>
        <w:tc>
          <w:tcPr>
            <w:tcW w:type="dxa" w:w="2866"/>
            <w:tcBorders>
              <w:top w:val="single" w:color="000000" w:sz="4"/>
              <w:left w:val="single" w:color="000000" w:sz="4"/>
              <w:bottom w:val="single" w:color="000000" w:sz="8"/>
              <w:right w:val="single" w:color="000000" w:sz="8"/>
            </w:tcBorders>
            <w:tcMar>
              <w:top w:type="dxa" w:w="0"/>
              <w:left w:type="dxa" w:w="105"/>
              <w:bottom w:type="dxa" w:w="0"/>
              <w:right w:type="dxa" w:w="105"/>
            </w:tcMar>
            <w:vAlign w:val="top"/>
          </w:tcPr>
          <w:p/>
        </w:tc>
      </w:tr>
    </w:tbl>
    <w:p>
      <w:pPr>
        <w:pStyle w:val="null3"/>
        <w:jc w:val="both"/>
      </w:pPr>
      <w:r>
        <w:rPr>
          <w:sz w:val="21"/>
        </w:rPr>
        <w:t xml:space="preserve">  </w:t>
      </w:r>
    </w:p>
    <w:p>
      <w:pPr>
        <w:pStyle w:val="null3"/>
        <w:jc w:val="both"/>
      </w:pPr>
      <w:r>
        <w:rPr>
          <w:sz w:val="21"/>
        </w:rPr>
        <w:t>二、合同金额</w:t>
      </w:r>
    </w:p>
    <w:p>
      <w:pPr>
        <w:pStyle w:val="null3"/>
        <w:jc w:val="both"/>
      </w:pPr>
      <w:r>
        <w:rPr>
          <w:sz w:val="21"/>
        </w:rPr>
        <w:t>合同金额为（大写）：</w:t>
      </w:r>
      <w:r>
        <w:rPr>
          <w:sz w:val="21"/>
        </w:rPr>
        <w:t>_________________</w:t>
      </w:r>
      <w:r>
        <w:rPr>
          <w:sz w:val="21"/>
        </w:rPr>
        <w:t>元（￥</w:t>
      </w:r>
      <w:r>
        <w:rPr>
          <w:sz w:val="21"/>
        </w:rPr>
        <w:t>_______________</w:t>
      </w:r>
      <w:r>
        <w:rPr>
          <w:sz w:val="21"/>
        </w:rPr>
        <w:t>元）。</w:t>
      </w:r>
    </w:p>
    <w:p>
      <w:pPr>
        <w:pStyle w:val="null3"/>
        <w:jc w:val="both"/>
      </w:pPr>
      <w:r>
        <w:rPr>
          <w:sz w:val="21"/>
        </w:rPr>
        <w:t>三、软件系统及参数要求</w:t>
      </w:r>
    </w:p>
    <w:p>
      <w:pPr>
        <w:pStyle w:val="null3"/>
        <w:jc w:val="both"/>
      </w:pPr>
      <w:r>
        <w:rPr>
          <w:sz w:val="21"/>
        </w:rPr>
        <w:t>根据招标文件要求和投标文件响应内容执行。</w:t>
      </w:r>
    </w:p>
    <w:p>
      <w:pPr>
        <w:pStyle w:val="null3"/>
        <w:jc w:val="both"/>
      </w:pPr>
      <w:r>
        <w:rPr>
          <w:sz w:val="21"/>
        </w:rPr>
        <w:t>完工期：合同签订之日起</w:t>
      </w:r>
      <w:r>
        <w:rPr>
          <w:sz w:val="21"/>
        </w:rPr>
        <w:t>6</w:t>
      </w:r>
      <w:r>
        <w:rPr>
          <w:sz w:val="21"/>
        </w:rPr>
        <w:t>个月内完成药学数据治理服务和基于现有系统的改造服务的提供，由采购人按照相关规定组织最终验收。</w:t>
      </w:r>
    </w:p>
    <w:p>
      <w:pPr>
        <w:pStyle w:val="null3"/>
        <w:jc w:val="both"/>
      </w:pPr>
      <w:r>
        <w:rPr>
          <w:sz w:val="21"/>
        </w:rPr>
        <w:t>四、</w:t>
      </w:r>
      <w:r>
        <w:rPr>
          <w:sz w:val="21"/>
        </w:rPr>
        <w:t>项目实施要求</w:t>
      </w:r>
    </w:p>
    <w:p>
      <w:pPr>
        <w:pStyle w:val="null3"/>
        <w:jc w:val="both"/>
      </w:pPr>
      <w:r>
        <w:rPr>
          <w:sz w:val="21"/>
        </w:rPr>
        <w:t>（一）服务要求</w:t>
      </w:r>
    </w:p>
    <w:p>
      <w:pPr>
        <w:pStyle w:val="null3"/>
        <w:jc w:val="both"/>
      </w:pPr>
      <w:r>
        <w:rPr>
          <w:sz w:val="21"/>
        </w:rPr>
        <w:t>1.</w:t>
      </w:r>
      <w:r>
        <w:rPr>
          <w:sz w:val="21"/>
        </w:rPr>
        <w:t>维保</w:t>
      </w:r>
    </w:p>
    <w:p>
      <w:pPr>
        <w:pStyle w:val="null3"/>
        <w:jc w:val="both"/>
      </w:pPr>
      <w:r>
        <w:rPr>
          <w:sz w:val="21"/>
        </w:rPr>
        <w:t>从项目总体验收合格之日（从双方代表终验签字之日起计算）起，提供一年维保服务，费用已包含在采购预算中，采购人不会再额外支付。</w:t>
      </w:r>
    </w:p>
    <w:p>
      <w:pPr>
        <w:pStyle w:val="null3"/>
        <w:jc w:val="both"/>
      </w:pPr>
      <w:r>
        <w:rPr>
          <w:sz w:val="21"/>
        </w:rPr>
        <w:t>2.</w:t>
      </w:r>
      <w:r>
        <w:rPr>
          <w:sz w:val="21"/>
        </w:rPr>
        <w:t>项目服务</w:t>
      </w:r>
    </w:p>
    <w:p>
      <w:pPr>
        <w:pStyle w:val="null3"/>
        <w:jc w:val="both"/>
      </w:pPr>
      <w:r>
        <w:rPr>
          <w:sz w:val="21"/>
        </w:rPr>
        <w:t>保修期和系统技术支持自双方代表在系统验收单上签字之日起计算。保修期内所发生的一切费用包括系统维护或升级、人员交通、差旅服务等费用已包含在投标报价内。</w:t>
      </w:r>
    </w:p>
    <w:p>
      <w:pPr>
        <w:pStyle w:val="null3"/>
        <w:jc w:val="both"/>
      </w:pPr>
      <w:r>
        <w:rPr>
          <w:sz w:val="21"/>
        </w:rPr>
        <w:t>3.</w:t>
      </w:r>
      <w:r>
        <w:rPr>
          <w:sz w:val="21"/>
        </w:rPr>
        <w:t>项目维护与支持的具体内容</w:t>
      </w:r>
    </w:p>
    <w:p>
      <w:pPr>
        <w:pStyle w:val="null3"/>
        <w:jc w:val="both"/>
      </w:pPr>
      <w:r>
        <w:rPr>
          <w:sz w:val="21"/>
        </w:rPr>
        <w:t>3.1.</w:t>
      </w:r>
      <w:r>
        <w:rPr>
          <w:sz w:val="21"/>
        </w:rPr>
        <w:t>电话支持：</w:t>
      </w:r>
      <w:r>
        <w:rPr>
          <w:sz w:val="21"/>
        </w:rPr>
        <w:t>7*24</w:t>
      </w:r>
      <w:r>
        <w:rPr>
          <w:sz w:val="21"/>
        </w:rPr>
        <w:t>小时以热线电话或</w:t>
      </w:r>
      <w:r>
        <w:rPr>
          <w:sz w:val="21"/>
        </w:rPr>
        <w:t>Email</w:t>
      </w:r>
      <w:r>
        <w:rPr>
          <w:sz w:val="21"/>
        </w:rPr>
        <w:t>、传真等方式随时回答用户各种数据治理相关问题。</w:t>
      </w:r>
    </w:p>
    <w:p>
      <w:pPr>
        <w:pStyle w:val="null3"/>
        <w:jc w:val="both"/>
      </w:pPr>
      <w:r>
        <w:rPr>
          <w:sz w:val="21"/>
        </w:rPr>
        <w:t>3.2.</w:t>
      </w:r>
      <w:r>
        <w:rPr>
          <w:sz w:val="21"/>
        </w:rPr>
        <w:t>现场服务：安排专家与技术团队现场开展药学数据治理服务和基于现有系统的改造服务相关的开发、实施、服务支持。</w:t>
      </w:r>
    </w:p>
    <w:p>
      <w:pPr>
        <w:pStyle w:val="null3"/>
        <w:jc w:val="both"/>
      </w:pPr>
      <w:r>
        <w:rPr>
          <w:sz w:val="21"/>
        </w:rPr>
        <w:t>4.</w:t>
      </w:r>
      <w:r>
        <w:rPr>
          <w:sz w:val="21"/>
        </w:rPr>
        <w:t>其它要求</w:t>
      </w:r>
    </w:p>
    <w:p>
      <w:pPr>
        <w:pStyle w:val="null3"/>
        <w:jc w:val="both"/>
      </w:pPr>
      <w:r>
        <w:rPr>
          <w:sz w:val="21"/>
        </w:rPr>
        <w:t>4.1.</w:t>
      </w:r>
      <w:r>
        <w:rPr>
          <w:sz w:val="21"/>
        </w:rPr>
        <w:t>项目人员要求</w:t>
      </w:r>
      <w:r>
        <w:rPr>
          <w:sz w:val="21"/>
        </w:rPr>
        <w:t xml:space="preserve"> </w:t>
      </w:r>
    </w:p>
    <w:p>
      <w:pPr>
        <w:pStyle w:val="null3"/>
        <w:jc w:val="both"/>
      </w:pPr>
      <w:r>
        <w:rPr>
          <w:sz w:val="21"/>
        </w:rPr>
        <w:t>（</w:t>
      </w:r>
      <w:r>
        <w:rPr>
          <w:sz w:val="21"/>
        </w:rPr>
        <w:t>1</w:t>
      </w:r>
      <w:r>
        <w:rPr>
          <w:sz w:val="21"/>
        </w:rPr>
        <w:t>）乙方应组建一支经验丰富、配合默契且稳定的专业化团队，以保证项目按时、保质完成。</w:t>
      </w:r>
    </w:p>
    <w:p>
      <w:pPr>
        <w:pStyle w:val="null3"/>
        <w:jc w:val="both"/>
      </w:pPr>
      <w:r>
        <w:rPr>
          <w:sz w:val="21"/>
        </w:rPr>
        <w:t>（</w:t>
      </w:r>
      <w:r>
        <w:rPr>
          <w:sz w:val="21"/>
        </w:rPr>
        <w:t>2</w:t>
      </w:r>
      <w:r>
        <w:rPr>
          <w:sz w:val="21"/>
        </w:rPr>
        <w:t>）为使项目按质、按量、按时及有序实施，乙方必须组建一个完善和稳定的项目管理组织机构。</w:t>
      </w:r>
    </w:p>
    <w:p>
      <w:pPr>
        <w:pStyle w:val="null3"/>
        <w:jc w:val="both"/>
      </w:pPr>
      <w:r>
        <w:rPr>
          <w:sz w:val="21"/>
        </w:rPr>
        <w:t>（二）验收要求</w:t>
      </w:r>
    </w:p>
    <w:p>
      <w:pPr>
        <w:pStyle w:val="null3"/>
        <w:jc w:val="both"/>
      </w:pPr>
      <w:r>
        <w:rPr>
          <w:sz w:val="21"/>
        </w:rPr>
        <w:t>1.</w:t>
      </w:r>
      <w:r>
        <w:rPr>
          <w:sz w:val="21"/>
        </w:rPr>
        <w:t>验收标准：系统验收以招标文件的技术要求、乙方投标文件的项目需求说明、实施方案、技术方案为依据。</w:t>
      </w:r>
    </w:p>
    <w:p>
      <w:pPr>
        <w:pStyle w:val="null3"/>
        <w:jc w:val="both"/>
      </w:pPr>
      <w:r>
        <w:rPr>
          <w:sz w:val="21"/>
        </w:rPr>
        <w:t>2.</w:t>
      </w:r>
      <w:r>
        <w:rPr>
          <w:sz w:val="21"/>
        </w:rPr>
        <w:t>在项目实施过程中，包括维护服务时期，项目组交付待安装的应用软件，必须在系统管理人员的监督下才能进行用户现场安装。</w:t>
      </w:r>
    </w:p>
    <w:p>
      <w:pPr>
        <w:pStyle w:val="null3"/>
        <w:jc w:val="both"/>
      </w:pPr>
      <w:r>
        <w:rPr>
          <w:sz w:val="21"/>
        </w:rPr>
        <w:t>3.</w:t>
      </w:r>
      <w:r>
        <w:rPr>
          <w:sz w:val="21"/>
        </w:rPr>
        <w:t>所有的技术文件须用中文书写。</w:t>
      </w:r>
    </w:p>
    <w:p>
      <w:pPr>
        <w:pStyle w:val="null3"/>
        <w:jc w:val="both"/>
      </w:pPr>
      <w:r>
        <w:rPr>
          <w:sz w:val="21"/>
        </w:rPr>
        <w:t>4.</w:t>
      </w:r>
      <w:r>
        <w:rPr>
          <w:sz w:val="21"/>
        </w:rPr>
        <w:t>项目交付应在合同规定时间内，将采购范围内所界定的工作完成，并协助甲方制定相应管理规范，在通过双方认可验收后，交付给甲方，其中包括：符合项目目标和相应的技术要求、业务需求，并能保持系统稳定、运行良好。足以确保系统正常运行所需的管理、运营及维护有关的配套技术文件。</w:t>
      </w:r>
    </w:p>
    <w:p>
      <w:pPr>
        <w:pStyle w:val="null3"/>
        <w:jc w:val="both"/>
      </w:pPr>
      <w:r>
        <w:rPr>
          <w:sz w:val="21"/>
        </w:rPr>
        <w:t>5.</w:t>
      </w:r>
      <w:r>
        <w:rPr>
          <w:sz w:val="21"/>
        </w:rPr>
        <w:t>项目总体验收时，项目完成后乙方提出申请验收，由乙方和甲方共同对项目进行验收。</w:t>
      </w:r>
    </w:p>
    <w:p>
      <w:pPr>
        <w:pStyle w:val="null3"/>
        <w:jc w:val="both"/>
      </w:pPr>
      <w:r>
        <w:rPr>
          <w:sz w:val="21"/>
        </w:rPr>
        <w:t>五、培训要求：</w:t>
      </w:r>
    </w:p>
    <w:p>
      <w:pPr>
        <w:pStyle w:val="null3"/>
        <w:jc w:val="both"/>
      </w:pPr>
      <w:r>
        <w:rPr>
          <w:sz w:val="21"/>
        </w:rPr>
        <w:t>1.</w:t>
      </w:r>
      <w:r>
        <w:rPr>
          <w:sz w:val="21"/>
        </w:rPr>
        <w:t>乙方专业团队需围绕数据治理相关内容开展培训，包括数据治理的基本概念、策略制定、组织结构、改造业务流程、系统功能、系统操作、数据安全等内容，提高医疗数据治理能力，进一步保障数据质量、安全和合规性。</w:t>
      </w:r>
    </w:p>
    <w:p>
      <w:pPr>
        <w:pStyle w:val="null3"/>
        <w:jc w:val="both"/>
      </w:pPr>
      <w:r>
        <w:rPr>
          <w:sz w:val="21"/>
        </w:rPr>
        <w:t>2.</w:t>
      </w:r>
      <w:r>
        <w:rPr>
          <w:sz w:val="21"/>
        </w:rPr>
        <w:t>对系统的使用，操作，维护进行培训。培训时提供安装使用维护说明书，以确保甲方能够对系统有足够的了解和熟悉，能够独立进行系统的日常维护和管理。</w:t>
      </w:r>
    </w:p>
    <w:p>
      <w:pPr>
        <w:pStyle w:val="null3"/>
        <w:jc w:val="both"/>
      </w:pPr>
      <w:r>
        <w:rPr>
          <w:sz w:val="21"/>
        </w:rPr>
        <w:t>3.</w:t>
      </w:r>
      <w:r>
        <w:rPr>
          <w:sz w:val="21"/>
        </w:rPr>
        <w:t>为了保证培训与实际应用的结合，要求中标供应商负责派出专业技术工程师在系统实施现场对甲方进行现场培训，培训方案详细可行，包括：</w:t>
      </w:r>
      <w:r>
        <w:rPr>
          <w:sz w:val="21"/>
        </w:rPr>
        <w:t>1.</w:t>
      </w:r>
      <w:r>
        <w:rPr>
          <w:sz w:val="21"/>
        </w:rPr>
        <w:t>培训业务人员，使他们熟练操作系统的各项功能</w:t>
      </w:r>
      <w:r>
        <w:rPr>
          <w:sz w:val="21"/>
        </w:rPr>
        <w:t>,</w:t>
      </w:r>
      <w:r>
        <w:rPr>
          <w:sz w:val="21"/>
        </w:rPr>
        <w:t>掌握系统业务的操作技能；</w:t>
      </w:r>
      <w:r>
        <w:rPr>
          <w:sz w:val="21"/>
        </w:rPr>
        <w:t>2.</w:t>
      </w:r>
      <w:r>
        <w:rPr>
          <w:sz w:val="21"/>
        </w:rPr>
        <w:t>培训技术人员，为用户培训相应的维护人员，便于维护日常系统，包括系统网络、系统软件、系统维护及相关技术。</w:t>
      </w:r>
    </w:p>
    <w:p>
      <w:pPr>
        <w:pStyle w:val="null3"/>
        <w:jc w:val="both"/>
      </w:pPr>
      <w:r>
        <w:rPr>
          <w:sz w:val="21"/>
        </w:rPr>
        <w:t>4.</w:t>
      </w:r>
      <w:r>
        <w:rPr>
          <w:sz w:val="21"/>
        </w:rPr>
        <w:t>培训所需一切资料由乙方提供。培训过程中所发生的一切费用（含培训教材费）均包含在报价中。</w:t>
      </w:r>
    </w:p>
    <w:p>
      <w:pPr>
        <w:pStyle w:val="null3"/>
        <w:jc w:val="both"/>
      </w:pPr>
      <w:r>
        <w:rPr>
          <w:sz w:val="21"/>
        </w:rPr>
        <w:t>六、付款方式</w:t>
      </w:r>
    </w:p>
    <w:p>
      <w:pPr>
        <w:pStyle w:val="null3"/>
        <w:jc w:val="both"/>
      </w:pPr>
      <w:r>
        <w:rPr>
          <w:sz w:val="21"/>
        </w:rPr>
        <w:t>1.</w:t>
      </w:r>
      <w:r>
        <w:rPr>
          <w:sz w:val="21"/>
        </w:rPr>
        <w:t>合同签订后</w:t>
      </w:r>
      <w:r>
        <w:rPr>
          <w:sz w:val="21"/>
        </w:rPr>
        <w:t>15</w:t>
      </w:r>
      <w:r>
        <w:rPr>
          <w:sz w:val="21"/>
        </w:rPr>
        <w:t>个工作日内，甲方凭乙方等额的增值税普通发票向乙方支付合同总金额的</w:t>
      </w:r>
      <w:r>
        <w:rPr>
          <w:sz w:val="21"/>
        </w:rPr>
        <w:t>30%</w:t>
      </w:r>
      <w:r>
        <w:rPr>
          <w:sz w:val="21"/>
        </w:rPr>
        <w:t>；</w:t>
      </w:r>
    </w:p>
    <w:p>
      <w:pPr>
        <w:pStyle w:val="null3"/>
        <w:jc w:val="both"/>
      </w:pPr>
      <w:r>
        <w:rPr>
          <w:sz w:val="21"/>
        </w:rPr>
        <w:t>2.</w:t>
      </w:r>
      <w:r>
        <w:rPr>
          <w:sz w:val="21"/>
        </w:rPr>
        <w:t>合同签订</w:t>
      </w:r>
      <w:r>
        <w:rPr>
          <w:sz w:val="21"/>
        </w:rPr>
        <w:t>6</w:t>
      </w:r>
      <w:r>
        <w:rPr>
          <w:sz w:val="21"/>
        </w:rPr>
        <w:t>个月后，乙方向甲方完成基于现有系统的改造服务，甲方凭乙方等额的增值税普通发票支付合同总金额的</w:t>
      </w:r>
      <w:r>
        <w:rPr>
          <w:sz w:val="21"/>
        </w:rPr>
        <w:t>30%</w:t>
      </w:r>
      <w:r>
        <w:rPr>
          <w:sz w:val="21"/>
        </w:rPr>
        <w:t>；</w:t>
      </w:r>
    </w:p>
    <w:p>
      <w:pPr>
        <w:pStyle w:val="null3"/>
        <w:jc w:val="both"/>
      </w:pPr>
      <w:r>
        <w:rPr>
          <w:sz w:val="21"/>
        </w:rPr>
        <w:t>3.</w:t>
      </w:r>
      <w:r>
        <w:rPr>
          <w:sz w:val="21"/>
        </w:rPr>
        <w:t>项目验收通过后</w:t>
      </w:r>
      <w:r>
        <w:rPr>
          <w:sz w:val="21"/>
        </w:rPr>
        <w:t>30</w:t>
      </w:r>
      <w:r>
        <w:rPr>
          <w:sz w:val="21"/>
        </w:rPr>
        <w:t>天内，甲方凭乙方等额的增值税普通发票支付合同总金额的</w:t>
      </w:r>
      <w:r>
        <w:rPr>
          <w:sz w:val="21"/>
        </w:rPr>
        <w:t>40%</w:t>
      </w:r>
      <w:r>
        <w:rPr>
          <w:sz w:val="21"/>
        </w:rPr>
        <w:t>。</w:t>
      </w:r>
    </w:p>
    <w:p>
      <w:pPr>
        <w:pStyle w:val="null3"/>
        <w:jc w:val="both"/>
      </w:pPr>
      <w:r>
        <w:rPr>
          <w:sz w:val="21"/>
        </w:rPr>
        <w:t>七、知识产权归属</w:t>
      </w:r>
    </w:p>
    <w:p>
      <w:pPr>
        <w:pStyle w:val="null3"/>
        <w:jc w:val="both"/>
      </w:pPr>
      <w:r>
        <w:rPr>
          <w:sz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pStyle w:val="null3"/>
        <w:jc w:val="both"/>
      </w:pPr>
      <w:r>
        <w:rPr>
          <w:sz w:val="21"/>
        </w:rPr>
        <w:t>八、保密</w:t>
      </w:r>
    </w:p>
    <w:p>
      <w:pPr>
        <w:pStyle w:val="null3"/>
        <w:jc w:val="both"/>
      </w:pPr>
      <w:r>
        <w:rPr>
          <w:sz w:val="21"/>
        </w:rPr>
        <w:t>(</w:t>
      </w:r>
      <w:r>
        <w:rPr>
          <w:sz w:val="21"/>
        </w:rPr>
        <w:t>一</w:t>
      </w:r>
      <w:r>
        <w:rPr>
          <w:sz w:val="21"/>
        </w:rPr>
        <w:t>)</w:t>
      </w:r>
      <w:r>
        <w:rPr>
          <w:sz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pPr>
        <w:pStyle w:val="null3"/>
        <w:jc w:val="both"/>
      </w:pPr>
      <w:r>
        <w:rPr>
          <w:sz w:val="21"/>
        </w:rPr>
        <w:t>(</w:t>
      </w:r>
      <w:r>
        <w:rPr>
          <w:sz w:val="21"/>
        </w:rPr>
        <w:t>二</w:t>
      </w:r>
      <w:r>
        <w:rPr>
          <w:sz w:val="21"/>
        </w:rPr>
        <w:t>)</w:t>
      </w:r>
      <w:r>
        <w:rPr>
          <w:sz w:val="21"/>
        </w:rPr>
        <w:t>未经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pStyle w:val="null3"/>
        <w:jc w:val="both"/>
      </w:pPr>
      <w:r>
        <w:rPr>
          <w:sz w:val="21"/>
        </w:rPr>
        <w:t>(</w:t>
      </w:r>
      <w:r>
        <w:rPr>
          <w:sz w:val="21"/>
        </w:rPr>
        <w:t>三</w:t>
      </w:r>
      <w:r>
        <w:rPr>
          <w:sz w:val="21"/>
        </w:rPr>
        <w:t>)</w:t>
      </w:r>
      <w:r>
        <w:rPr>
          <w:sz w:val="21"/>
        </w:rPr>
        <w:t>除了合同本身之外，上款所列举的任何物件均是甲方的财产。如果甲方有要求，乙方在完成合同后应将这些物件及全部复制件还给甲方。</w:t>
      </w:r>
    </w:p>
    <w:p>
      <w:pPr>
        <w:pStyle w:val="null3"/>
        <w:jc w:val="both"/>
      </w:pPr>
      <w:r>
        <w:rPr>
          <w:sz w:val="21"/>
        </w:rPr>
        <w:t>九、违约责任与赔偿损失</w:t>
      </w:r>
    </w:p>
    <w:p>
      <w:pPr>
        <w:pStyle w:val="null3"/>
        <w:jc w:val="both"/>
      </w:pPr>
      <w:r>
        <w:rPr>
          <w:sz w:val="21"/>
        </w:rPr>
        <w:t>(</w:t>
      </w:r>
      <w:r>
        <w:rPr>
          <w:sz w:val="21"/>
        </w:rPr>
        <w:t>一</w:t>
      </w:r>
      <w:r>
        <w:rPr>
          <w:sz w:val="21"/>
        </w:rPr>
        <w:t>)</w:t>
      </w:r>
      <w:r>
        <w:rPr>
          <w:sz w:val="21"/>
        </w:rPr>
        <w:t>乙方提供的服务不符合采购文件、投标文件或本合同规定的，甲方有权拒收，并且乙方须向甲方支付本合同总价</w:t>
      </w:r>
      <w:r>
        <w:rPr>
          <w:sz w:val="21"/>
        </w:rPr>
        <w:t>5%</w:t>
      </w:r>
      <w:r>
        <w:rPr>
          <w:sz w:val="21"/>
        </w:rPr>
        <w:t>的违约金。</w:t>
      </w:r>
    </w:p>
    <w:p>
      <w:pPr>
        <w:pStyle w:val="null3"/>
        <w:jc w:val="both"/>
      </w:pPr>
      <w:r>
        <w:rPr>
          <w:sz w:val="21"/>
        </w:rPr>
        <w:t>(</w:t>
      </w:r>
      <w:r>
        <w:rPr>
          <w:sz w:val="21"/>
        </w:rPr>
        <w:t>二</w:t>
      </w:r>
      <w:r>
        <w:rPr>
          <w:sz w:val="21"/>
        </w:rPr>
        <w:t>)</w:t>
      </w:r>
      <w:r>
        <w:rPr>
          <w:sz w:val="21"/>
        </w:rPr>
        <w:t>乙方未能按本合同规定的交货时间交付货物的</w:t>
      </w:r>
      <w:r>
        <w:rPr>
          <w:sz w:val="21"/>
        </w:rPr>
        <w:t>/</w:t>
      </w:r>
      <w:r>
        <w:rPr>
          <w:sz w:val="21"/>
        </w:rPr>
        <w:t>提供服务，从逾期之日起每日按本合同总价</w:t>
      </w:r>
      <w:r>
        <w:rPr>
          <w:sz w:val="21"/>
        </w:rPr>
        <w:t>3</w:t>
      </w:r>
      <w:r>
        <w:rPr>
          <w:sz w:val="21"/>
        </w:rPr>
        <w:t>‰的数额向甲方支付违约金；逾期</w:t>
      </w:r>
      <w:r>
        <w:rPr>
          <w:sz w:val="21"/>
        </w:rPr>
        <w:t>15</w:t>
      </w:r>
      <w:r>
        <w:rPr>
          <w:sz w:val="21"/>
        </w:rPr>
        <w:t>天以上（含</w:t>
      </w:r>
      <w:r>
        <w:rPr>
          <w:sz w:val="21"/>
        </w:rPr>
        <w:t>15</w:t>
      </w:r>
      <w:r>
        <w:rPr>
          <w:sz w:val="21"/>
        </w:rPr>
        <w:t>天）的，甲方有权终止合同，要求乙方支付违约金，并且给甲方造成的经济损失由乙方承担赔偿责任。</w:t>
      </w:r>
    </w:p>
    <w:p>
      <w:pPr>
        <w:pStyle w:val="null3"/>
        <w:jc w:val="both"/>
      </w:pPr>
      <w:r>
        <w:rPr>
          <w:sz w:val="21"/>
        </w:rPr>
        <w:t>(</w:t>
      </w:r>
      <w:r>
        <w:rPr>
          <w:sz w:val="21"/>
        </w:rPr>
        <w:t>三</w:t>
      </w:r>
      <w:r>
        <w:rPr>
          <w:sz w:val="21"/>
        </w:rPr>
        <w:t>)</w:t>
      </w:r>
      <w:r>
        <w:rPr>
          <w:sz w:val="21"/>
        </w:rPr>
        <w:t>甲方无正当理由拒收接受服务，到期拒付服务款项的，甲方向乙方偿付本合同总价</w:t>
      </w:r>
      <w:r>
        <w:rPr>
          <w:sz w:val="21"/>
        </w:rPr>
        <w:t>5%</w:t>
      </w:r>
      <w:r>
        <w:rPr>
          <w:sz w:val="21"/>
        </w:rPr>
        <w:t>的违约金。</w:t>
      </w:r>
    </w:p>
    <w:p>
      <w:pPr>
        <w:pStyle w:val="null3"/>
        <w:jc w:val="both"/>
      </w:pPr>
      <w:r>
        <w:rPr>
          <w:sz w:val="21"/>
        </w:rPr>
        <w:t>(</w:t>
      </w:r>
      <w:r>
        <w:rPr>
          <w:sz w:val="21"/>
        </w:rPr>
        <w:t>四</w:t>
      </w:r>
      <w:r>
        <w:rPr>
          <w:sz w:val="21"/>
        </w:rPr>
        <w:t>)</w:t>
      </w:r>
      <w:r>
        <w:rPr>
          <w:sz w:val="21"/>
        </w:rPr>
        <w:t>其它违约责任按《中华人民共和国民法典》处理。</w:t>
      </w:r>
    </w:p>
    <w:p>
      <w:pPr>
        <w:pStyle w:val="null3"/>
        <w:jc w:val="both"/>
      </w:pPr>
      <w:r>
        <w:rPr>
          <w:sz w:val="21"/>
        </w:rPr>
        <w:t>十、争端的解决</w:t>
      </w:r>
    </w:p>
    <w:p>
      <w:pPr>
        <w:pStyle w:val="null3"/>
        <w:jc w:val="both"/>
      </w:pPr>
      <w:r>
        <w:rPr>
          <w:sz w:val="21"/>
        </w:rPr>
        <w:t>合同执行过程中发生的任何争议，如双方不能通过友好协商解决，甲、乙双方一致同意向甲方所在地人民法院提起诉讼。</w:t>
      </w:r>
    </w:p>
    <w:p>
      <w:pPr>
        <w:pStyle w:val="null3"/>
        <w:jc w:val="both"/>
      </w:pPr>
      <w:r>
        <w:rPr>
          <w:sz w:val="21"/>
        </w:rPr>
        <w:t>十一、不可抗力</w:t>
      </w:r>
    </w:p>
    <w:p>
      <w:pPr>
        <w:pStyle w:val="null3"/>
        <w:jc w:val="both"/>
      </w:pPr>
      <w:r>
        <w:rPr>
          <w:sz w:val="21"/>
        </w:rPr>
        <w:t>任何一方由于不可抗力原因不能履行合同时，应在不可抗力事件结束后</w:t>
      </w:r>
      <w:r>
        <w:rPr>
          <w:sz w:val="21"/>
        </w:rPr>
        <w:t>1</w:t>
      </w:r>
      <w:r>
        <w:rPr>
          <w:sz w:val="21"/>
        </w:rPr>
        <w:t>日内向对方通报，以减轻可能给对方造成的损失，在取得有关机构的不可抗力证明或双方谅解确认后，允许延期履行或修订合同，并根据情况可部分或全部免于承担违约责任。</w:t>
      </w:r>
    </w:p>
    <w:p>
      <w:pPr>
        <w:pStyle w:val="null3"/>
        <w:jc w:val="both"/>
      </w:pPr>
      <w:r>
        <w:rPr>
          <w:sz w:val="21"/>
        </w:rPr>
        <w:t>十二、税费</w:t>
      </w:r>
    </w:p>
    <w:p>
      <w:pPr>
        <w:pStyle w:val="null3"/>
        <w:jc w:val="both"/>
      </w:pPr>
      <w:r>
        <w:rPr>
          <w:sz w:val="21"/>
        </w:rPr>
        <w:t>在中国境内、外发生的与本合同执行有关的一切税费均由乙方负担。</w:t>
      </w:r>
    </w:p>
    <w:p>
      <w:pPr>
        <w:pStyle w:val="null3"/>
        <w:jc w:val="both"/>
      </w:pPr>
      <w:r>
        <w:rPr>
          <w:sz w:val="21"/>
        </w:rPr>
        <w:t>十三、其它</w:t>
      </w:r>
    </w:p>
    <w:p>
      <w:pPr>
        <w:pStyle w:val="null3"/>
        <w:jc w:val="both"/>
      </w:pPr>
      <w:r>
        <w:rPr>
          <w:sz w:val="21"/>
        </w:rPr>
        <w:t>(</w:t>
      </w:r>
      <w:r>
        <w:rPr>
          <w:sz w:val="21"/>
        </w:rPr>
        <w:t>一</w:t>
      </w:r>
      <w:r>
        <w:rPr>
          <w:sz w:val="21"/>
        </w:rPr>
        <w:t>)</w:t>
      </w:r>
      <w:r>
        <w:rPr>
          <w:sz w:val="21"/>
        </w:rPr>
        <w:t>本合同所有附件、招标文件、投标文件、中标通知书均为合同的有效组成部分，与本合同具有同等法律效力。</w:t>
      </w:r>
    </w:p>
    <w:p>
      <w:pPr>
        <w:pStyle w:val="null3"/>
        <w:jc w:val="both"/>
      </w:pPr>
      <w:r>
        <w:rPr>
          <w:sz w:val="21"/>
        </w:rPr>
        <w:t>(</w:t>
      </w:r>
      <w:r>
        <w:rPr>
          <w:sz w:val="21"/>
        </w:rPr>
        <w:t>二</w:t>
      </w:r>
      <w:r>
        <w:rPr>
          <w:sz w:val="21"/>
        </w:rPr>
        <w:t>)</w:t>
      </w:r>
      <w:r>
        <w:rPr>
          <w:sz w:val="21"/>
        </w:rPr>
        <w:t>在执行本合同的过程中，所有经双方签署确认的文件（包括会议纪要、补充协议、往来信函）即成为本合同的有效组成部分。</w:t>
      </w:r>
    </w:p>
    <w:p>
      <w:pPr>
        <w:pStyle w:val="null3"/>
        <w:jc w:val="both"/>
      </w:pPr>
      <w:r>
        <w:rPr>
          <w:sz w:val="21"/>
        </w:rPr>
        <w:t>(</w:t>
      </w:r>
      <w:r>
        <w:rPr>
          <w:sz w:val="21"/>
        </w:rPr>
        <w:t>三</w:t>
      </w:r>
      <w:r>
        <w:rPr>
          <w:sz w:val="21"/>
        </w:rPr>
        <w:t>)</w:t>
      </w:r>
      <w:r>
        <w:rPr>
          <w:sz w:val="21"/>
        </w:rPr>
        <w:t>如一方地址、电话、传真号码有变更，应在变更当日内书面通知对方，否则，应承担相应责任。</w:t>
      </w:r>
    </w:p>
    <w:p>
      <w:pPr>
        <w:pStyle w:val="null3"/>
        <w:jc w:val="both"/>
      </w:pPr>
      <w:r>
        <w:rPr>
          <w:sz w:val="21"/>
        </w:rPr>
        <w:t>(</w:t>
      </w:r>
      <w:r>
        <w:rPr>
          <w:sz w:val="21"/>
        </w:rPr>
        <w:t>四</w:t>
      </w:r>
      <w:r>
        <w:rPr>
          <w:sz w:val="21"/>
        </w:rPr>
        <w:t>)</w:t>
      </w:r>
      <w:r>
        <w:rPr>
          <w:sz w:val="21"/>
        </w:rPr>
        <w:t>除甲方事先书面同意外，乙方不得部分或全部转让其应履行的合同项下的义务。</w:t>
      </w:r>
    </w:p>
    <w:p>
      <w:pPr>
        <w:pStyle w:val="null3"/>
        <w:jc w:val="both"/>
      </w:pPr>
      <w:r>
        <w:rPr>
          <w:sz w:val="21"/>
        </w:rPr>
        <w:t>十四、合同生效</w:t>
      </w:r>
    </w:p>
    <w:p>
      <w:pPr>
        <w:pStyle w:val="null3"/>
        <w:jc w:val="both"/>
      </w:pPr>
      <w:r>
        <w:rPr>
          <w:sz w:val="21"/>
        </w:rPr>
        <w:t>(</w:t>
      </w:r>
      <w:r>
        <w:rPr>
          <w:sz w:val="21"/>
        </w:rPr>
        <w:t>一</w:t>
      </w:r>
      <w:r>
        <w:rPr>
          <w:sz w:val="21"/>
        </w:rPr>
        <w:t>)</w:t>
      </w:r>
      <w:r>
        <w:rPr>
          <w:sz w:val="21"/>
        </w:rPr>
        <w:t>合同自甲乙双方法人代表或其授权代表签字盖章之日起生效。</w:t>
      </w:r>
    </w:p>
    <w:p>
      <w:pPr>
        <w:pStyle w:val="null3"/>
        <w:jc w:val="both"/>
      </w:pPr>
      <w:r>
        <w:rPr>
          <w:sz w:val="21"/>
        </w:rPr>
        <w:t>(</w:t>
      </w:r>
      <w:r>
        <w:rPr>
          <w:sz w:val="21"/>
        </w:rPr>
        <w:t>二</w:t>
      </w:r>
      <w:r>
        <w:rPr>
          <w:sz w:val="21"/>
        </w:rPr>
        <w:t>)</w:t>
      </w:r>
      <w:r>
        <w:rPr>
          <w:sz w:val="21"/>
        </w:rPr>
        <w:t>合同壹式陆份，其中甲方执肆份，乙方执两份。</w:t>
      </w:r>
    </w:p>
    <w:p>
      <w:pPr>
        <w:pStyle w:val="null3"/>
        <w:jc w:val="both"/>
      </w:pPr>
      <w:r>
        <w:rPr>
          <w:sz w:val="21"/>
        </w:rPr>
        <w:t>甲方（盖章）：</w:t>
      </w:r>
      <w:r>
        <w:rPr>
          <w:sz w:val="21"/>
        </w:rPr>
        <w:t xml:space="preserve">                           </w:t>
      </w:r>
      <w:r>
        <w:rPr>
          <w:sz w:val="21"/>
        </w:rPr>
        <w:t>乙方（盖章）：</w:t>
      </w:r>
    </w:p>
    <w:p>
      <w:pPr>
        <w:pStyle w:val="null3"/>
        <w:jc w:val="both"/>
      </w:pPr>
      <w:r>
        <w:rPr>
          <w:sz w:val="21"/>
        </w:rPr>
        <w:t>代表：</w:t>
      </w:r>
      <w:r>
        <w:rPr>
          <w:sz w:val="21"/>
        </w:rPr>
        <w:t xml:space="preserve">                                  </w:t>
      </w:r>
      <w:r>
        <w:rPr>
          <w:sz w:val="21"/>
        </w:rPr>
        <w:t>代表：</w:t>
      </w:r>
    </w:p>
    <w:p>
      <w:pPr>
        <w:pStyle w:val="null3"/>
        <w:jc w:val="both"/>
      </w:pPr>
      <w:r>
        <w:rPr>
          <w:sz w:val="21"/>
        </w:rPr>
        <w:t>签订地点：</w:t>
      </w:r>
    </w:p>
    <w:p>
      <w:pPr>
        <w:pStyle w:val="null3"/>
        <w:jc w:val="both"/>
      </w:pPr>
      <w:r>
        <w:rPr>
          <w:sz w:val="21"/>
        </w:rPr>
        <w:t>签订日期：</w:t>
      </w:r>
      <w:r>
        <w:rPr>
          <w:sz w:val="21"/>
        </w:rPr>
        <w:t xml:space="preserve">        </w:t>
      </w:r>
      <w:r>
        <w:rPr>
          <w:sz w:val="21"/>
        </w:rPr>
        <w:t>年</w:t>
      </w:r>
      <w:r>
        <w:rPr>
          <w:sz w:val="21"/>
        </w:rPr>
        <w:t xml:space="preserve">     </w:t>
      </w:r>
      <w:r>
        <w:rPr>
          <w:sz w:val="21"/>
        </w:rPr>
        <w:t>月</w:t>
      </w:r>
      <w:r>
        <w:rPr>
          <w:sz w:val="21"/>
        </w:rPr>
        <w:t xml:space="preserve">    </w:t>
      </w:r>
      <w:r>
        <w:rPr>
          <w:sz w:val="21"/>
        </w:rPr>
        <w:t>日</w:t>
      </w:r>
      <w:r>
        <w:rPr>
          <w:sz w:val="21"/>
        </w:rPr>
        <w:t xml:space="preserve">       </w:t>
      </w:r>
      <w:r>
        <w:rPr>
          <w:sz w:val="21"/>
        </w:rPr>
        <w:t>签订日期：</w:t>
      </w:r>
      <w:r>
        <w:rPr>
          <w:sz w:val="21"/>
        </w:rPr>
        <w:t xml:space="preserve">        </w:t>
      </w:r>
      <w:r>
        <w:rPr>
          <w:sz w:val="21"/>
        </w:rPr>
        <w:t>年</w:t>
      </w:r>
      <w:r>
        <w:rPr>
          <w:sz w:val="21"/>
        </w:rPr>
        <w:t xml:space="preserve">     </w:t>
      </w:r>
      <w:r>
        <w:rPr>
          <w:sz w:val="21"/>
        </w:rPr>
        <w:t>月</w:t>
      </w:r>
      <w:r>
        <w:rPr>
          <w:sz w:val="21"/>
        </w:rPr>
        <w:t xml:space="preserve">     </w:t>
      </w:r>
      <w:r>
        <w:rPr>
          <w:sz w:val="21"/>
        </w:rPr>
        <w:t>日</w:t>
      </w:r>
      <w:r>
        <w:rPr>
          <w:sz w:val="21"/>
        </w:rPr>
        <w:t xml:space="preserve">    </w:t>
      </w:r>
    </w:p>
    <w:p>
      <w:pPr>
        <w:pStyle w:val="null3"/>
        <w:jc w:val="both"/>
      </w:pPr>
      <w:r>
        <w:rPr>
          <w:sz w:val="21"/>
        </w:rPr>
        <w:t>开户名称：</w:t>
      </w:r>
    </w:p>
    <w:p>
      <w:pPr>
        <w:pStyle w:val="null3"/>
        <w:jc w:val="both"/>
      </w:pPr>
      <w:r>
        <w:rPr>
          <w:sz w:val="21"/>
        </w:rPr>
        <w:t>银行账号：</w:t>
      </w:r>
    </w:p>
    <w:p>
      <w:pPr>
        <w:pStyle w:val="null3"/>
        <w:jc w:val="both"/>
      </w:pPr>
      <w:r>
        <w:rPr>
          <w:sz w:val="21"/>
        </w:rPr>
        <w:t>开</w:t>
      </w:r>
      <w:r>
        <w:rPr>
          <w:sz w:val="21"/>
        </w:rPr>
        <w:t>户</w:t>
      </w:r>
      <w:r>
        <w:rPr>
          <w:sz w:val="21"/>
        </w:rPr>
        <w:t>行：</w:t>
      </w:r>
    </w:p>
    <w:p>
      <w:pPr>
        <w:pStyle w:val="null3"/>
        <w:jc w:val="both"/>
      </w:pPr>
      <w:r>
        <w:rPr>
          <w:sz w:val="21"/>
        </w:rPr>
        <w:t xml:space="preserve"> </w:t>
      </w:r>
    </w:p>
    <w:p>
      <w:pPr>
        <w:pStyle w:val="null3"/>
        <w:jc w:val="both"/>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440001-2025-08391</w:t>
      </w:r>
    </w:p>
    <w:p>
      <w:pPr>
        <w:pStyle w:val="null3"/>
        <w:jc w:val="center"/>
        <w:outlineLvl w:val="3"/>
      </w:pPr>
      <w:r>
        <w:rPr>
          <w:sz w:val="24"/>
          <w:b/>
        </w:rPr>
        <w:t>采购项目编号：</w:t>
      </w:r>
      <w:r>
        <w:rPr>
          <w:sz w:val="24"/>
          <w:b/>
        </w:rPr>
        <w:t>0877-25GZTP1ZC0052</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广东省第二人民医院药学数据治理服务项目</w:t>
      </w:r>
      <w:r>
        <w:rPr>
          <w:u w:val="single"/>
        </w:rPr>
        <w:t>”</w:t>
      </w:r>
      <w:r>
        <w:rPr/>
        <w:t>项目的招标[采购项目编号为：</w:t>
      </w:r>
      <w:r>
        <w:rPr>
          <w:u w:val="single"/>
        </w:rPr>
        <w:t>0877-25GZTP1ZC0052</w:t>
      </w:r>
      <w:r>
        <w:rPr/>
        <w:t>]，我方愿参与投标。</w:t>
      </w:r>
    </w:p>
    <w:p>
      <w:pPr>
        <w:pStyle w:val="null3"/>
        <w:ind w:firstLine="480"/>
      </w:pPr>
      <w:r>
        <w:rPr/>
        <w:t>我方确认收到贵方提供的</w:t>
      </w:r>
      <w:r>
        <w:rPr>
          <w:u w:val="single"/>
        </w:rPr>
        <w:t>“</w:t>
      </w:r>
      <w:r>
        <w:rPr>
          <w:u w:val="single"/>
        </w:rPr>
        <w:t>广东省第二人民医院药学数据治理服务项目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广东省第二人民医院药学数据治理服务项目</w:t>
      </w:r>
      <w:r>
        <w:rPr/>
        <w:t>”项目采购[采购项目编号为</w:t>
      </w:r>
      <w:r>
        <w:rPr/>
        <w:t>0877-25GZTP1ZC0052</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广东省第二人民医院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广东省第二人民医院药学数据治理服务项目</w:t>
      </w:r>
      <w:r>
        <w:rPr/>
        <w:t>招标中获中标（采购项目编号：</w:t>
      </w:r>
      <w:r>
        <w:rPr/>
        <w:t>0877-25GZTP1ZC0052</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广东省第二人民医院药学数据治理服务项目</w:t>
      </w:r>
      <w:r>
        <w:rPr/>
        <w:t>”项目（采购项目编号：</w:t>
      </w:r>
      <w:r>
        <w:rPr/>
        <w:t>0877-25GZTP1ZC0052</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