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after="312" w:afterLines="100"/>
        <w:jc w:val="center"/>
        <w:rPr>
          <w:rFonts w:hint="default" w:ascii="Times New Roman" w:hAnsi="Times New Roman" w:eastAsia="黑体" w:cs="Times New Roman"/>
          <w:sz w:val="44"/>
          <w:szCs w:val="44"/>
        </w:rPr>
      </w:pPr>
      <w:bookmarkStart w:id="0" w:name="_GoBack"/>
      <w:bookmarkEnd w:id="0"/>
      <w:r>
        <w:rPr>
          <w:rFonts w:hint="default" w:ascii="Times New Roman" w:hAnsi="Times New Roman" w:eastAsia="黑体" w:cs="Times New Roman"/>
          <w:sz w:val="44"/>
          <w:szCs w:val="44"/>
        </w:rPr>
        <w:t>委托第三方合作开展“三代试管相关的辅助检测”项目用户需求</w:t>
      </w:r>
    </w:p>
    <w:p>
      <w:pPr>
        <w:numPr>
          <w:ilvl w:val="0"/>
          <w:numId w:val="1"/>
        </w:numPr>
        <w:spacing w:line="360" w:lineRule="auto"/>
        <w:rPr>
          <w:rFonts w:hint="default" w:ascii="Times New Roman" w:hAnsi="Times New Roman" w:eastAsia="黑体" w:cs="Times New Roman"/>
          <w:sz w:val="28"/>
          <w:szCs w:val="21"/>
        </w:rPr>
      </w:pPr>
      <w:r>
        <w:rPr>
          <w:rFonts w:hint="default" w:ascii="Times New Roman" w:hAnsi="Times New Roman" w:eastAsia="黑体" w:cs="Times New Roman"/>
          <w:sz w:val="28"/>
          <w:szCs w:val="21"/>
        </w:rPr>
        <w:t>项目概况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sz w:val="24"/>
          <w:szCs w:val="24"/>
        </w:rPr>
      </w:pPr>
      <w:r>
        <w:rPr>
          <w:rFonts w:hint="default" w:ascii="Times New Roman" w:hAnsi="Times New Roman" w:eastAsia="宋体" w:cs="Times New Roman"/>
          <w:b w:val="0"/>
          <w:bCs w:val="0"/>
          <w:sz w:val="24"/>
          <w:szCs w:val="24"/>
          <w:lang w:eastAsia="zh-CN"/>
        </w:rPr>
        <w:t>随着生殖医学中心“三代辅助生殖技术”的开展，“三代试管”业务量和相关遗传疾病种类逐渐增多。为更好满足临床需求，</w:t>
      </w:r>
      <w:r>
        <w:rPr>
          <w:rFonts w:hint="eastAsia" w:ascii="Times New Roman" w:hAnsi="Times New Roman" w:eastAsia="宋体" w:cs="Times New Roman"/>
          <w:b w:val="0"/>
          <w:bCs w:val="0"/>
          <w:sz w:val="24"/>
          <w:szCs w:val="24"/>
          <w:lang w:eastAsia="zh-CN"/>
        </w:rPr>
        <w:t>需</w:t>
      </w:r>
      <w:r>
        <w:rPr>
          <w:rFonts w:hint="default" w:ascii="Times New Roman" w:hAnsi="Times New Roman" w:eastAsia="宋体" w:cs="Times New Roman"/>
          <w:b w:val="0"/>
          <w:bCs w:val="0"/>
          <w:sz w:val="24"/>
          <w:szCs w:val="24"/>
          <w:lang w:eastAsia="zh-CN"/>
        </w:rPr>
        <w:t>开展“三代试管”相关的检测</w:t>
      </w:r>
      <w:r>
        <w:rPr>
          <w:rFonts w:hint="eastAsia" w:ascii="Times New Roman" w:hAnsi="Times New Roman" w:eastAsia="宋体" w:cs="Times New Roman"/>
          <w:b w:val="0"/>
          <w:bCs w:val="0"/>
          <w:sz w:val="24"/>
          <w:szCs w:val="24"/>
          <w:lang w:eastAsia="zh-CN"/>
        </w:rPr>
        <w:t>项目，包括：</w:t>
      </w:r>
      <w:r>
        <w:rPr>
          <w:rFonts w:hint="eastAsia" w:ascii="Times New Roman" w:hAnsi="Times New Roman" w:eastAsia="宋体" w:cs="Times New Roman"/>
          <w:b w:val="0"/>
          <w:bCs w:val="0"/>
          <w:sz w:val="24"/>
          <w:szCs w:val="24"/>
          <w:lang w:val="en-US" w:eastAsia="zh-CN"/>
        </w:rPr>
        <w:t>1）</w:t>
      </w:r>
      <w:r>
        <w:rPr>
          <w:rFonts w:hint="eastAsia" w:ascii="宋体" w:hAnsi="宋体" w:eastAsia="宋体" w:cs="宋体"/>
          <w:b w:val="0"/>
          <w:bCs w:val="0"/>
          <w:sz w:val="24"/>
          <w:szCs w:val="24"/>
        </w:rPr>
        <w:t>胚胎植入前遗传学诊断-预实验（靶向三代测序）</w:t>
      </w:r>
      <w:r>
        <w:rPr>
          <w:rFonts w:hint="eastAsia" w:ascii="宋体" w:hAnsi="宋体" w:eastAsia="宋体" w:cs="宋体"/>
          <w:b w:val="0"/>
          <w:bCs w:val="0"/>
          <w:sz w:val="24"/>
          <w:szCs w:val="24"/>
          <w:lang w:eastAsia="zh-CN"/>
        </w:rPr>
        <w:t>，</w:t>
      </w:r>
      <w:r>
        <w:rPr>
          <w:rFonts w:hint="eastAsia" w:ascii="宋体" w:hAnsi="宋体" w:eastAsia="宋体" w:cs="宋体"/>
          <w:b w:val="0"/>
          <w:bCs w:val="0"/>
          <w:color w:val="000000"/>
          <w:kern w:val="0"/>
          <w:sz w:val="24"/>
          <w:szCs w:val="24"/>
          <w:shd w:val="clear" w:color="auto" w:fill="FFFFFF"/>
        </w:rPr>
        <w:t>解决单基因病患者和染色体病患者的家系新发突变、家系样本不全、家系样本采集困难的PGT检测难题</w:t>
      </w:r>
      <w:r>
        <w:rPr>
          <w:rFonts w:hint="eastAsia" w:ascii="宋体" w:hAnsi="宋体" w:eastAsia="宋体" w:cs="宋体"/>
          <w:b w:val="0"/>
          <w:bCs w:val="0"/>
          <w:color w:val="000000"/>
          <w:kern w:val="0"/>
          <w:sz w:val="24"/>
          <w:szCs w:val="24"/>
          <w:shd w:val="clear" w:color="auto" w:fill="FFFFFF"/>
          <w:lang w:eastAsia="zh-CN"/>
        </w:rPr>
        <w:t>；</w:t>
      </w:r>
      <w:r>
        <w:rPr>
          <w:rFonts w:hint="eastAsia" w:ascii="宋体" w:hAnsi="宋体" w:eastAsia="宋体" w:cs="宋体"/>
          <w:b w:val="0"/>
          <w:bCs w:val="0"/>
          <w:color w:val="000000"/>
          <w:kern w:val="0"/>
          <w:sz w:val="24"/>
          <w:szCs w:val="24"/>
          <w:shd w:val="clear" w:color="auto" w:fill="FFFFFF"/>
          <w:lang w:val="en-US" w:eastAsia="zh-CN"/>
        </w:rPr>
        <w:t>2）</w:t>
      </w:r>
      <w:r>
        <w:rPr>
          <w:rFonts w:hint="eastAsia" w:ascii="宋体" w:hAnsi="宋体" w:eastAsia="宋体" w:cs="宋体"/>
          <w:b w:val="0"/>
          <w:bCs w:val="0"/>
          <w:sz w:val="24"/>
          <w:szCs w:val="24"/>
        </w:rPr>
        <w:t>新型DNA分子构象检测技术——分子核型，准确判断隐匿性染色体结构异常，辅助判断患者反复性流产或胚胎组织检测异常的原因</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lang w:val="en-US" w:eastAsia="zh-CN"/>
        </w:rPr>
        <w:t>3）</w:t>
      </w:r>
      <w:r>
        <w:rPr>
          <w:rFonts w:hint="eastAsia" w:ascii="宋体" w:hAnsi="宋体" w:eastAsia="宋体" w:cs="宋体"/>
          <w:b w:val="0"/>
          <w:bCs w:val="0"/>
          <w:sz w:val="24"/>
          <w:szCs w:val="24"/>
        </w:rPr>
        <w:t>子宫内膜微生物检测（EMT）</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实现检测宫腔乳酸菌含量，指导补充乳酸菌</w:t>
      </w:r>
      <w:r>
        <w:rPr>
          <w:rFonts w:hint="eastAsia" w:ascii="宋体" w:hAnsi="宋体" w:eastAsia="宋体" w:cs="宋体"/>
          <w:b w:val="0"/>
          <w:bCs w:val="0"/>
          <w:sz w:val="24"/>
          <w:szCs w:val="24"/>
          <w:lang w:eastAsia="zh-CN"/>
        </w:rPr>
        <w:t>，同时</w:t>
      </w:r>
      <w:r>
        <w:rPr>
          <w:rFonts w:hint="eastAsia" w:ascii="宋体" w:hAnsi="宋体" w:eastAsia="宋体" w:cs="宋体"/>
          <w:b w:val="0"/>
          <w:bCs w:val="0"/>
          <w:sz w:val="24"/>
          <w:szCs w:val="24"/>
        </w:rPr>
        <w:t>检测慢性子宫内膜炎致病菌，指导用药治疗，改善患者的临床妊娠结局</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lang w:val="en-US" w:eastAsia="zh-CN"/>
        </w:rPr>
        <w:t>4）</w:t>
      </w:r>
      <w:r>
        <w:rPr>
          <w:rFonts w:hint="eastAsia" w:ascii="宋体" w:hAnsi="宋体" w:eastAsia="宋体" w:cs="宋体"/>
          <w:b w:val="0"/>
          <w:bCs w:val="0"/>
          <w:sz w:val="24"/>
          <w:szCs w:val="24"/>
        </w:rPr>
        <w:t>单基因突变位点超深度测序（10000×）</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反映低突变比例变异在个体中的发生的情况，为患者临床遗传诊断提供完善的诊断依据。</w:t>
      </w:r>
    </w:p>
    <w:p>
      <w:pPr>
        <w:spacing w:line="360" w:lineRule="auto"/>
        <w:rPr>
          <w:rFonts w:hint="default" w:ascii="Times New Roman" w:hAnsi="Times New Roman" w:eastAsia="黑体" w:cs="Times New Roman"/>
          <w:sz w:val="28"/>
          <w:szCs w:val="21"/>
        </w:rPr>
      </w:pPr>
      <w:r>
        <w:rPr>
          <w:rFonts w:hint="default" w:ascii="Times New Roman" w:hAnsi="Times New Roman" w:eastAsia="黑体" w:cs="Times New Roman"/>
          <w:sz w:val="28"/>
          <w:szCs w:val="21"/>
        </w:rPr>
        <w:t>二、第三方合作单位资质要求</w:t>
      </w:r>
    </w:p>
    <w:p>
      <w:pPr>
        <w:pStyle w:val="11"/>
        <w:numPr>
          <w:ilvl w:val="0"/>
          <w:numId w:val="2"/>
        </w:numPr>
        <w:spacing w:line="360" w:lineRule="auto"/>
        <w:ind w:left="425" w:leftChars="0" w:hanging="425" w:firstLineChars="0"/>
        <w:rPr>
          <w:rFonts w:hint="default" w:ascii="Times New Roman" w:hAnsi="Times New Roman" w:eastAsia="宋体" w:cs="Times New Roman"/>
          <w:sz w:val="24"/>
          <w:szCs w:val="20"/>
        </w:rPr>
      </w:pPr>
      <w:r>
        <w:rPr>
          <w:rFonts w:hint="default" w:ascii="Times New Roman" w:hAnsi="Times New Roman" w:eastAsia="宋体" w:cs="Times New Roman"/>
          <w:sz w:val="24"/>
          <w:szCs w:val="20"/>
        </w:rPr>
        <w:t>检测实验室具有</w:t>
      </w:r>
      <w:r>
        <w:rPr>
          <w:rFonts w:hint="eastAsia" w:ascii="Times New Roman" w:hAnsi="Times New Roman" w:eastAsia="宋体" w:cs="Times New Roman"/>
          <w:sz w:val="24"/>
          <w:szCs w:val="20"/>
          <w:lang w:eastAsia="zh-CN"/>
        </w:rPr>
        <w:t>《</w:t>
      </w:r>
      <w:r>
        <w:rPr>
          <w:rFonts w:hint="default" w:ascii="Times New Roman" w:hAnsi="Times New Roman" w:eastAsia="宋体" w:cs="Times New Roman"/>
          <w:sz w:val="24"/>
          <w:szCs w:val="20"/>
        </w:rPr>
        <w:t>医疗机构执行许可证</w:t>
      </w:r>
      <w:r>
        <w:rPr>
          <w:rFonts w:hint="eastAsia" w:ascii="Times New Roman" w:hAnsi="Times New Roman" w:eastAsia="宋体" w:cs="Times New Roman"/>
          <w:sz w:val="24"/>
          <w:szCs w:val="20"/>
          <w:lang w:eastAsia="zh-CN"/>
        </w:rPr>
        <w:t>》</w:t>
      </w:r>
      <w:r>
        <w:rPr>
          <w:rFonts w:hint="default" w:ascii="Times New Roman" w:hAnsi="Times New Roman" w:eastAsia="宋体" w:cs="Times New Roman"/>
          <w:sz w:val="24"/>
          <w:szCs w:val="20"/>
        </w:rPr>
        <w:t>。</w:t>
      </w:r>
    </w:p>
    <w:p>
      <w:pPr>
        <w:pStyle w:val="11"/>
        <w:numPr>
          <w:ilvl w:val="0"/>
          <w:numId w:val="2"/>
        </w:numPr>
        <w:spacing w:line="360" w:lineRule="auto"/>
        <w:ind w:left="425" w:leftChars="0" w:hanging="425" w:firstLineChars="0"/>
        <w:rPr>
          <w:rFonts w:hint="default" w:ascii="Times New Roman" w:hAnsi="Times New Roman" w:eastAsia="宋体" w:cs="Times New Roman"/>
          <w:sz w:val="24"/>
          <w:szCs w:val="20"/>
        </w:rPr>
      </w:pPr>
      <w:r>
        <w:rPr>
          <w:rFonts w:hint="default" w:ascii="Times New Roman" w:hAnsi="Times New Roman" w:eastAsia="宋体" w:cs="Times New Roman"/>
          <w:sz w:val="24"/>
          <w:szCs w:val="20"/>
        </w:rPr>
        <w:t>检测实验室具有生物安全二级实验室资质</w:t>
      </w:r>
      <w:r>
        <w:rPr>
          <w:rFonts w:hint="eastAsia" w:ascii="Times New Roman" w:hAnsi="Times New Roman" w:eastAsia="宋体" w:cs="Times New Roman"/>
          <w:sz w:val="24"/>
          <w:szCs w:val="20"/>
          <w:lang w:eastAsia="zh-CN"/>
        </w:rPr>
        <w:t>，</w:t>
      </w:r>
      <w:r>
        <w:rPr>
          <w:rFonts w:hint="eastAsia" w:ascii="宋体" w:hAnsi="宋体" w:eastAsia="宋体" w:cs="宋体"/>
          <w:color w:val="000000" w:themeColor="text1"/>
          <w:sz w:val="24"/>
          <w:szCs w:val="24"/>
          <w14:textFill>
            <w14:solidFill>
              <w14:schemeClr w14:val="tx1"/>
            </w14:solidFill>
          </w14:textFill>
        </w:rPr>
        <w:t>需符合《中华人民共和国外商投资企业法》和《中华人民共和国人类遗传资源条例》，无外资背景</w:t>
      </w:r>
      <w:r>
        <w:rPr>
          <w:rFonts w:hint="default" w:ascii="Times New Roman" w:hAnsi="Times New Roman" w:eastAsia="宋体" w:cs="Times New Roman"/>
          <w:sz w:val="24"/>
          <w:szCs w:val="20"/>
        </w:rPr>
        <w:t xml:space="preserve">。 </w:t>
      </w:r>
    </w:p>
    <w:p>
      <w:pPr>
        <w:pStyle w:val="11"/>
        <w:numPr>
          <w:ilvl w:val="0"/>
          <w:numId w:val="2"/>
        </w:numPr>
        <w:spacing w:line="360" w:lineRule="auto"/>
        <w:ind w:left="425" w:leftChars="0" w:hanging="425" w:firstLineChars="0"/>
        <w:rPr>
          <w:rFonts w:hint="default" w:ascii="Times New Roman" w:hAnsi="Times New Roman" w:eastAsia="宋体" w:cs="Times New Roman"/>
          <w:sz w:val="24"/>
          <w:szCs w:val="20"/>
        </w:rPr>
      </w:pPr>
      <w:r>
        <w:rPr>
          <w:rFonts w:hint="default" w:ascii="Times New Roman" w:hAnsi="Times New Roman" w:eastAsia="宋体" w:cs="Times New Roman"/>
          <w:sz w:val="24"/>
          <w:szCs w:val="20"/>
        </w:rPr>
        <w:t>检测实验室具有临床基因扩增检验实验室资质。</w:t>
      </w:r>
    </w:p>
    <w:p>
      <w:pPr>
        <w:pStyle w:val="11"/>
        <w:numPr>
          <w:ilvl w:val="0"/>
          <w:numId w:val="2"/>
        </w:numPr>
        <w:spacing w:line="360" w:lineRule="auto"/>
        <w:ind w:left="425" w:leftChars="0" w:hanging="425" w:firstLineChars="0"/>
        <w:rPr>
          <w:rFonts w:hint="eastAsia" w:ascii="宋体" w:hAnsi="宋体" w:eastAsia="宋体" w:cs="宋体"/>
          <w:color w:val="000000" w:themeColor="text1"/>
          <w:sz w:val="24"/>
          <w:szCs w:val="24"/>
          <w14:textFill>
            <w14:solidFill>
              <w14:schemeClr w14:val="tx1"/>
            </w14:solidFill>
          </w14:textFill>
        </w:rPr>
      </w:pPr>
      <w:r>
        <w:rPr>
          <w:rFonts w:hint="default" w:ascii="Times New Roman" w:hAnsi="Times New Roman" w:eastAsia="宋体" w:cs="Times New Roman"/>
          <w:sz w:val="24"/>
          <w:szCs w:val="20"/>
        </w:rPr>
        <w:t>检测实验室</w:t>
      </w:r>
      <w:r>
        <w:rPr>
          <w:rFonts w:hint="eastAsia" w:ascii="宋体" w:hAnsi="宋体" w:eastAsia="宋体" w:cs="宋体"/>
          <w:color w:val="000000" w:themeColor="text1"/>
          <w:sz w:val="24"/>
          <w:szCs w:val="24"/>
          <w14:textFill>
            <w14:solidFill>
              <w14:schemeClr w14:val="tx1"/>
            </w14:solidFill>
          </w14:textFill>
        </w:rPr>
        <w:t>需具备ISO9001、ISO14001、CAP认证，</w:t>
      </w:r>
      <w:r>
        <w:rPr>
          <w:rFonts w:hint="default" w:ascii="Times New Roman" w:hAnsi="Times New Roman" w:eastAsia="宋体" w:cs="Times New Roman"/>
          <w:sz w:val="24"/>
          <w:szCs w:val="20"/>
        </w:rPr>
        <w:t>连续3年获得NCCL获得室间质评合格证书。</w:t>
      </w:r>
    </w:p>
    <w:p>
      <w:pPr>
        <w:pStyle w:val="11"/>
        <w:numPr>
          <w:ilvl w:val="0"/>
          <w:numId w:val="2"/>
        </w:numPr>
        <w:spacing w:line="360" w:lineRule="auto"/>
        <w:ind w:left="425" w:leftChars="0" w:hanging="425" w:firstLineChars="0"/>
        <w:rPr>
          <w:rFonts w:hint="eastAsia" w:ascii="宋体" w:hAnsi="宋体" w:eastAsia="宋体" w:cs="宋体"/>
          <w:color w:val="000000" w:themeColor="text1"/>
          <w:sz w:val="24"/>
          <w:szCs w:val="24"/>
          <w14:textFill>
            <w14:solidFill>
              <w14:schemeClr w14:val="tx1"/>
            </w14:solidFill>
          </w14:textFill>
        </w:rPr>
      </w:pPr>
      <w:r>
        <w:rPr>
          <w:rFonts w:hint="eastAsia" w:ascii="Times New Roman" w:hAnsi="Times New Roman" w:eastAsia="宋体" w:cs="Times New Roman"/>
          <w:sz w:val="24"/>
          <w:szCs w:val="20"/>
        </w:rPr>
        <w:t>所采用的检测试剂盒必须按分类要求已通过国家或省食品药品监督局的审批。</w:t>
      </w:r>
    </w:p>
    <w:p>
      <w:pPr>
        <w:pStyle w:val="11"/>
        <w:numPr>
          <w:ilvl w:val="0"/>
          <w:numId w:val="2"/>
        </w:numPr>
        <w:spacing w:line="360" w:lineRule="auto"/>
        <w:ind w:left="425" w:leftChars="0" w:hanging="425" w:firstLineChars="0"/>
        <w:rPr>
          <w:rFonts w:hint="eastAsia" w:ascii="Times New Roman" w:hAnsi="Times New Roman" w:eastAsia="宋体" w:cs="Times New Roman"/>
          <w:sz w:val="24"/>
          <w:szCs w:val="20"/>
        </w:rPr>
      </w:pPr>
      <w:r>
        <w:rPr>
          <w:rFonts w:hint="eastAsia" w:ascii="宋体" w:hAnsi="宋体" w:eastAsia="宋体" w:cs="宋体"/>
          <w:color w:val="000000" w:themeColor="text1"/>
          <w:sz w:val="24"/>
          <w:szCs w:val="24"/>
          <w14:textFill>
            <w14:solidFill>
              <w14:schemeClr w14:val="tx1"/>
            </w14:solidFill>
          </w14:textFill>
        </w:rPr>
        <w:t>需具有生产许可证，具有独立的GMP生产厂房，通过ISO13485、ISO9001、ISO27001认证，国内自主生产检测过程中的核心试剂，确保供应链的稳定（需提供资质证明文件）；</w:t>
      </w:r>
    </w:p>
    <w:p>
      <w:pPr>
        <w:pStyle w:val="11"/>
        <w:numPr>
          <w:ilvl w:val="0"/>
          <w:numId w:val="2"/>
        </w:numPr>
        <w:spacing w:line="360" w:lineRule="auto"/>
        <w:ind w:left="425" w:leftChars="0" w:hanging="425" w:firstLineChars="0"/>
        <w:rPr>
          <w:rFonts w:hint="eastAsia" w:ascii="宋体" w:hAnsi="宋体" w:eastAsia="宋体" w:cs="宋体"/>
          <w:color w:val="000000" w:themeColor="text1"/>
          <w:sz w:val="24"/>
          <w:szCs w:val="24"/>
          <w14:textFill>
            <w14:solidFill>
              <w14:schemeClr w14:val="tx1"/>
            </w14:solidFill>
          </w14:textFill>
        </w:rPr>
      </w:pPr>
      <w:r>
        <w:rPr>
          <w:rFonts w:hint="eastAsia" w:ascii="Times New Roman" w:hAnsi="Times New Roman" w:eastAsia="宋体" w:cs="Times New Roman"/>
          <w:sz w:val="24"/>
          <w:szCs w:val="20"/>
        </w:rPr>
        <w:t>配备完善的物流运输体系，符合临床标本运送的专业物流服务，运输必须符合生物安全要求，并确保标本运输与保存不影响检验质量，具备《道路运输经营许可证》</w:t>
      </w:r>
      <w:r>
        <w:rPr>
          <w:rFonts w:hint="eastAsia" w:ascii="Times New Roman" w:hAnsi="Times New Roman" w:eastAsia="宋体" w:cs="Times New Roman"/>
          <w:sz w:val="24"/>
          <w:szCs w:val="20"/>
          <w:lang w:eastAsia="zh-CN"/>
        </w:rPr>
        <w:t>；</w:t>
      </w:r>
    </w:p>
    <w:p>
      <w:pPr>
        <w:pStyle w:val="11"/>
        <w:numPr>
          <w:ilvl w:val="0"/>
          <w:numId w:val="2"/>
        </w:numPr>
        <w:spacing w:line="360" w:lineRule="auto"/>
        <w:ind w:left="425" w:leftChars="0" w:hanging="425"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需组织过多中心或国家重大专项临床研究，参与辅助生殖相关指南或共识的工作（需提供证明材料）；参与国际顶尖学术会议，例如PGDIS会议、ESHRE会议、ASPIRE会议、ASRM年会，并发表PGT类主题演讲（提供证明材料）</w:t>
      </w:r>
      <w:r>
        <w:rPr>
          <w:rFonts w:hint="eastAsia" w:ascii="宋体" w:hAnsi="宋体" w:eastAsia="宋体" w:cs="宋体"/>
          <w:color w:val="000000" w:themeColor="text1"/>
          <w:sz w:val="24"/>
          <w:szCs w:val="24"/>
          <w:lang w:eastAsia="zh-CN"/>
          <w14:textFill>
            <w14:solidFill>
              <w14:schemeClr w14:val="tx1"/>
            </w14:solidFill>
          </w14:textFill>
        </w:rPr>
        <w:t>；</w:t>
      </w:r>
    </w:p>
    <w:p>
      <w:pPr>
        <w:pStyle w:val="11"/>
        <w:numPr>
          <w:ilvl w:val="0"/>
          <w:numId w:val="2"/>
        </w:numPr>
        <w:spacing w:line="360" w:lineRule="auto"/>
        <w:ind w:left="425" w:leftChars="0" w:hanging="425" w:firstLineChars="0"/>
        <w:rPr>
          <w:rFonts w:hint="default" w:ascii="Times New Roman" w:hAnsi="Times New Roman" w:eastAsia="宋体" w:cs="Times New Roman"/>
          <w:sz w:val="24"/>
          <w:szCs w:val="20"/>
        </w:rPr>
      </w:pPr>
      <w:r>
        <w:rPr>
          <w:rFonts w:hint="eastAsia" w:ascii="宋体" w:hAnsi="宋体" w:eastAsia="宋体" w:cs="宋体"/>
          <w:color w:val="000000" w:themeColor="text1"/>
          <w:sz w:val="24"/>
          <w:szCs w:val="24"/>
          <w14:textFill>
            <w14:solidFill>
              <w14:schemeClr w14:val="tx1"/>
            </w14:solidFill>
          </w14:textFill>
        </w:rPr>
        <w:t>检验项目负责人具备副主任技师及以上资质，并且检验团队有超过10人及以上具有专业技术资格（职称）或者职业资格或者执业资格证或者其他证书。</w:t>
      </w:r>
    </w:p>
    <w:p>
      <w:pPr>
        <w:numPr>
          <w:ilvl w:val="0"/>
          <w:numId w:val="3"/>
        </w:numPr>
        <w:spacing w:line="360" w:lineRule="auto"/>
        <w:rPr>
          <w:rFonts w:hint="default" w:ascii="Times New Roman" w:hAnsi="Times New Roman" w:eastAsia="黑体" w:cs="Times New Roman"/>
          <w:sz w:val="28"/>
          <w:szCs w:val="21"/>
        </w:rPr>
      </w:pPr>
      <w:r>
        <w:rPr>
          <w:rFonts w:hint="default" w:ascii="Times New Roman" w:hAnsi="Times New Roman" w:eastAsia="黑体" w:cs="Times New Roman"/>
          <w:sz w:val="28"/>
          <w:szCs w:val="21"/>
        </w:rPr>
        <w:t>项目技术参数</w:t>
      </w:r>
    </w:p>
    <w:p>
      <w:pPr>
        <w:numPr>
          <w:ilvl w:val="0"/>
          <w:numId w:val="4"/>
        </w:numPr>
        <w:spacing w:line="360" w:lineRule="auto"/>
        <w:rPr>
          <w:rFonts w:hint="eastAsia" w:ascii="宋体" w:hAnsi="宋体" w:eastAsia="宋体" w:cs="宋体"/>
          <w:b/>
          <w:bCs/>
          <w:sz w:val="24"/>
          <w:szCs w:val="24"/>
        </w:rPr>
      </w:pPr>
      <w:r>
        <w:rPr>
          <w:rFonts w:hint="eastAsia" w:ascii="宋体" w:hAnsi="宋体" w:eastAsia="宋体" w:cs="宋体"/>
          <w:b/>
          <w:bCs/>
          <w:sz w:val="24"/>
          <w:szCs w:val="24"/>
        </w:rPr>
        <w:t>胚胎植入前遗传学诊断-预实验（靶向三代测序）</w:t>
      </w:r>
    </w:p>
    <w:p>
      <w:pPr>
        <w:widowControl/>
        <w:spacing w:line="360" w:lineRule="auto"/>
        <w:ind w:firstLine="480" w:firstLineChars="200"/>
        <w:jc w:val="left"/>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1）检测技术平台：纳米孔三代测序技术平台</w:t>
      </w:r>
      <w:r>
        <w:rPr>
          <w:rFonts w:hint="eastAsia" w:ascii="宋体" w:hAnsi="宋体" w:eastAsia="宋体" w:cs="宋体"/>
          <w:color w:val="000000" w:themeColor="text1"/>
          <w:sz w:val="24"/>
          <w:szCs w:val="24"/>
          <w:lang w:eastAsia="zh-CN"/>
          <w14:textFill>
            <w14:solidFill>
              <w14:schemeClr w14:val="tx1"/>
            </w14:solidFill>
          </w14:textFill>
        </w:rPr>
        <w:t>。</w:t>
      </w:r>
    </w:p>
    <w:p>
      <w:pPr>
        <w:widowControl/>
        <w:spacing w:line="360" w:lineRule="auto"/>
        <w:ind w:firstLine="480" w:firstLineChars="20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2）检测范围：基于三代测序技术可针对染色体结构重排和单基因遗传病家系携带者进行致病变异染色体的单体型构建。</w:t>
      </w:r>
    </w:p>
    <w:p>
      <w:pPr>
        <w:widowControl/>
        <w:spacing w:line="360" w:lineRule="auto"/>
        <w:ind w:firstLine="480" w:firstLineChars="20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3）检测技术性能：</w:t>
      </w:r>
      <w:r>
        <w:rPr>
          <w:rFonts w:hint="default" w:ascii="宋体" w:hAnsi="宋体" w:eastAsia="宋体" w:cs="宋体"/>
          <w:color w:val="000000" w:themeColor="text1"/>
          <w:sz w:val="24"/>
          <w:szCs w:val="24"/>
          <w14:textFill>
            <w14:solidFill>
              <w14:schemeClr w14:val="tx1"/>
            </w14:solidFill>
          </w14:textFill>
        </w:rPr>
        <w:t>①</w:t>
      </w:r>
      <w:r>
        <w:rPr>
          <w:rFonts w:hint="eastAsia" w:ascii="宋体" w:hAnsi="宋体" w:eastAsia="宋体" w:cs="宋体"/>
          <w:color w:val="000000" w:themeColor="text1"/>
          <w:sz w:val="24"/>
          <w:szCs w:val="24"/>
          <w14:textFill>
            <w14:solidFill>
              <w14:schemeClr w14:val="tx1"/>
            </w14:solidFill>
          </w14:textFill>
        </w:rPr>
        <w:t>测序读长长，可检测≥4Mb片段；</w:t>
      </w:r>
      <w:r>
        <w:rPr>
          <w:rFonts w:hint="default" w:ascii="宋体" w:hAnsi="宋体" w:eastAsia="宋体" w:cs="宋体"/>
          <w:color w:val="000000" w:themeColor="text1"/>
          <w:sz w:val="24"/>
          <w:szCs w:val="24"/>
          <w14:textFill>
            <w14:solidFill>
              <w14:schemeClr w14:val="tx1"/>
            </w14:solidFill>
          </w14:textFill>
        </w:rPr>
        <w:t>②</w:t>
      </w:r>
      <w:r>
        <w:rPr>
          <w:rFonts w:hint="eastAsia" w:ascii="宋体" w:hAnsi="宋体" w:eastAsia="宋体" w:cs="宋体"/>
          <w:color w:val="000000" w:themeColor="text1"/>
          <w:sz w:val="24"/>
          <w:szCs w:val="24"/>
          <w14:textFill>
            <w14:solidFill>
              <w14:schemeClr w14:val="tx1"/>
            </w14:solidFill>
          </w14:textFill>
        </w:rPr>
        <w:t>无需PCR 扩增，无需荧光标记。避免因PCR扩增偏好和荧光标记产生的偏离和原始样本的失真；</w:t>
      </w:r>
      <w:r>
        <w:rPr>
          <w:rFonts w:hint="default" w:ascii="宋体" w:hAnsi="宋体" w:eastAsia="宋体" w:cs="宋体"/>
          <w:color w:val="000000" w:themeColor="text1"/>
          <w:sz w:val="24"/>
          <w:szCs w:val="24"/>
          <w14:textFill>
            <w14:solidFill>
              <w14:schemeClr w14:val="tx1"/>
            </w14:solidFill>
          </w14:textFill>
        </w:rPr>
        <w:t>③</w:t>
      </w:r>
      <w:r>
        <w:rPr>
          <w:rFonts w:hint="eastAsia" w:ascii="宋体" w:hAnsi="宋体" w:eastAsia="宋体" w:cs="宋体"/>
          <w:color w:val="000000" w:themeColor="text1"/>
          <w:sz w:val="24"/>
          <w:szCs w:val="24"/>
          <w14:textFill>
            <w14:solidFill>
              <w14:schemeClr w14:val="tx1"/>
            </w14:solidFill>
          </w14:textFill>
        </w:rPr>
        <w:t>测序可实现99.6% （Q24）的模态原始读长单链准确度和99.92% （Q31）的单分子双链准确度；④可检测多种基因突变类型，单核苷酸多态性 (SNPs)、碱基插入/缺失（Indel）、拷贝数变异（CNVs）、基因融合、基因甲基化修饰直接测序等，实现基因组结构变异、短串联重复/微卫星、单体型分析、真假基因区分等检测；⑤无需引物的Panel制定，可对每一条DNA/RNA进行实时分析，选择满足预先设定需求的特定DNA/RNA分子。</w:t>
      </w:r>
    </w:p>
    <w:p>
      <w:pPr>
        <w:widowControl/>
        <w:spacing w:line="360" w:lineRule="auto"/>
        <w:ind w:firstLine="480" w:firstLineChars="20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4）技术</w:t>
      </w:r>
      <w:r>
        <w:rPr>
          <w:rFonts w:hint="eastAsia" w:ascii="宋体" w:hAnsi="宋体" w:eastAsia="宋体" w:cs="宋体"/>
          <w:color w:val="000000" w:themeColor="text1"/>
          <w:sz w:val="24"/>
          <w:szCs w:val="24"/>
          <w:lang w:eastAsia="zh-CN"/>
          <w14:textFill>
            <w14:solidFill>
              <w14:schemeClr w14:val="tx1"/>
            </w14:solidFill>
          </w14:textFill>
        </w:rPr>
        <w:t>要求</w:t>
      </w:r>
      <w:r>
        <w:rPr>
          <w:rFonts w:hint="eastAsia" w:ascii="宋体" w:hAnsi="宋体" w:eastAsia="宋体" w:cs="宋体"/>
          <w:color w:val="000000" w:themeColor="text1"/>
          <w:sz w:val="24"/>
          <w:szCs w:val="24"/>
          <w14:textFill>
            <w14:solidFill>
              <w14:schemeClr w14:val="tx1"/>
            </w14:solidFill>
          </w14:textFill>
        </w:rPr>
        <w:t>：具备独立开发的构建单体型的专利技术；具备自动化分析与报告系统。</w:t>
      </w:r>
    </w:p>
    <w:p>
      <w:pPr>
        <w:widowControl/>
        <w:spacing w:line="360" w:lineRule="auto"/>
        <w:ind w:firstLine="480" w:firstLineChars="200"/>
        <w:jc w:val="left"/>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w:t>
      </w:r>
      <w:r>
        <w:rPr>
          <w:rFonts w:hint="eastAsia" w:ascii="宋体" w:hAnsi="宋体" w:eastAsia="宋体" w:cs="宋体"/>
          <w:color w:val="000000" w:themeColor="text1"/>
          <w:sz w:val="24"/>
          <w:szCs w:val="24"/>
          <w:lang w:eastAsia="zh-CN"/>
          <w14:textFill>
            <w14:solidFill>
              <w14:schemeClr w14:val="tx1"/>
            </w14:solidFill>
          </w14:textFill>
        </w:rPr>
        <w:t>报告</w:t>
      </w:r>
      <w:r>
        <w:rPr>
          <w:rFonts w:hint="eastAsia" w:ascii="宋体" w:hAnsi="宋体" w:eastAsia="宋体" w:cs="宋体"/>
          <w:color w:val="000000" w:themeColor="text1"/>
          <w:sz w:val="24"/>
          <w:szCs w:val="24"/>
          <w14:textFill>
            <w14:solidFill>
              <w14:schemeClr w14:val="tx1"/>
            </w14:solidFill>
          </w14:textFill>
        </w:rPr>
        <w:t>周期：45个自然日</w:t>
      </w:r>
      <w:r>
        <w:rPr>
          <w:rFonts w:hint="eastAsia" w:ascii="宋体" w:hAnsi="宋体" w:eastAsia="宋体" w:cs="宋体"/>
          <w:color w:val="000000" w:themeColor="text1"/>
          <w:sz w:val="24"/>
          <w:szCs w:val="24"/>
          <w:lang w:eastAsia="zh-CN"/>
          <w14:textFill>
            <w14:solidFill>
              <w14:schemeClr w14:val="tx1"/>
            </w14:solidFill>
          </w14:textFill>
        </w:rPr>
        <w:t>。</w:t>
      </w:r>
    </w:p>
    <w:p>
      <w:pPr>
        <w:widowControl/>
        <w:numPr>
          <w:ilvl w:val="0"/>
          <w:numId w:val="4"/>
        </w:numPr>
        <w:spacing w:line="360" w:lineRule="auto"/>
        <w:ind w:left="0" w:leftChars="0" w:firstLine="0" w:firstLineChars="0"/>
        <w:jc w:val="left"/>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新型DNA分子构象检测技术</w:t>
      </w:r>
    </w:p>
    <w:p>
      <w:pPr>
        <w:spacing w:line="360" w:lineRule="auto"/>
        <w:ind w:firstLine="480"/>
        <w:rPr>
          <w:rFonts w:hint="eastAsia" w:ascii="宋体" w:hAnsi="宋体" w:eastAsia="宋体" w:cs="宋体"/>
          <w:sz w:val="24"/>
          <w:szCs w:val="24"/>
        </w:rPr>
      </w:pPr>
      <w:r>
        <w:rPr>
          <w:rFonts w:hint="eastAsia" w:ascii="宋体" w:hAnsi="宋体" w:eastAsia="宋体" w:cs="宋体"/>
          <w:sz w:val="24"/>
          <w:szCs w:val="24"/>
        </w:rPr>
        <w:t>1）检测范围：染色体数目异常和绝大多数的结构异常，包括平衡易位、非平衡易位、插入、缺失、倒位等。</w:t>
      </w:r>
    </w:p>
    <w:p>
      <w:pPr>
        <w:spacing w:line="360" w:lineRule="auto"/>
        <w:ind w:firstLine="480"/>
        <w:rPr>
          <w:rFonts w:hint="eastAsia" w:ascii="宋体" w:hAnsi="宋体" w:eastAsia="宋体" w:cs="宋体"/>
          <w:sz w:val="24"/>
          <w:szCs w:val="24"/>
          <w:lang w:eastAsia="zh-CN"/>
        </w:rPr>
      </w:pPr>
      <w:r>
        <w:rPr>
          <w:rFonts w:hint="eastAsia" w:ascii="宋体" w:hAnsi="宋体" w:eastAsia="宋体" w:cs="宋体"/>
          <w:sz w:val="24"/>
          <w:szCs w:val="24"/>
        </w:rPr>
        <w:t>2）检测性能：可检出罗氏易位</w:t>
      </w:r>
      <w:r>
        <w:rPr>
          <w:rFonts w:hint="eastAsia" w:ascii="宋体" w:hAnsi="宋体" w:eastAsia="宋体" w:cs="宋体"/>
          <w:sz w:val="24"/>
          <w:szCs w:val="24"/>
          <w:lang w:eastAsia="zh-CN"/>
        </w:rPr>
        <w:t>；可</w:t>
      </w:r>
      <w:r>
        <w:rPr>
          <w:rFonts w:hint="eastAsia" w:ascii="宋体" w:hAnsi="宋体" w:eastAsia="宋体" w:cs="宋体"/>
          <w:sz w:val="24"/>
          <w:szCs w:val="24"/>
        </w:rPr>
        <w:t>检出不低于20%嵌合型SV</w:t>
      </w:r>
      <w:r>
        <w:rPr>
          <w:rFonts w:hint="eastAsia" w:ascii="宋体" w:hAnsi="宋体" w:eastAsia="宋体" w:cs="宋体"/>
          <w:sz w:val="24"/>
          <w:szCs w:val="24"/>
          <w:lang w:eastAsia="zh-CN"/>
        </w:rPr>
        <w:t>；可</w:t>
      </w:r>
      <w:r>
        <w:rPr>
          <w:rFonts w:hint="eastAsia" w:ascii="宋体" w:hAnsi="宋体" w:eastAsia="宋体" w:cs="宋体"/>
          <w:sz w:val="24"/>
          <w:szCs w:val="24"/>
        </w:rPr>
        <w:t>检出着丝粒区域的平衡易位与非平衡易位</w:t>
      </w:r>
      <w:r>
        <w:rPr>
          <w:rFonts w:hint="eastAsia" w:ascii="宋体" w:hAnsi="宋体" w:eastAsia="宋体" w:cs="宋体"/>
          <w:sz w:val="24"/>
          <w:szCs w:val="24"/>
          <w:lang w:eastAsia="zh-CN"/>
        </w:rPr>
        <w:t>。</w:t>
      </w:r>
    </w:p>
    <w:p>
      <w:pPr>
        <w:spacing w:line="360" w:lineRule="auto"/>
        <w:ind w:firstLine="48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检测分辨率：可检测1Mb以上的染色体结构异常及100Kb以上的CNV变异，最低可检测300Kb的结构异常</w:t>
      </w:r>
    </w:p>
    <w:p>
      <w:pPr>
        <w:spacing w:line="360" w:lineRule="auto"/>
        <w:ind w:firstLine="480"/>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）配套自研的生信分析软件</w:t>
      </w:r>
    </w:p>
    <w:p>
      <w:pPr>
        <w:spacing w:line="360" w:lineRule="auto"/>
        <w:ind w:firstLine="480"/>
        <w:rPr>
          <w:rFonts w:hint="eastAsia" w:ascii="宋体" w:hAnsi="宋体" w:eastAsia="宋体" w:cs="宋体"/>
          <w:sz w:val="24"/>
          <w:szCs w:val="24"/>
          <w:lang w:eastAsia="zh-CN"/>
        </w:rPr>
      </w:pPr>
      <w:r>
        <w:rPr>
          <w:rFonts w:hint="eastAsia" w:ascii="宋体" w:hAnsi="宋体" w:eastAsia="宋体" w:cs="宋体"/>
          <w:sz w:val="24"/>
          <w:szCs w:val="24"/>
          <w:lang w:val="en-US" w:eastAsia="zh-CN"/>
        </w:rPr>
        <w:t>5）</w:t>
      </w:r>
      <w:r>
        <w:rPr>
          <w:rFonts w:hint="eastAsia" w:ascii="宋体" w:hAnsi="宋体" w:eastAsia="宋体" w:cs="宋体"/>
          <w:sz w:val="24"/>
          <w:szCs w:val="24"/>
          <w:lang w:eastAsia="zh-CN"/>
        </w:rPr>
        <w:t>报告</w:t>
      </w:r>
      <w:r>
        <w:rPr>
          <w:rFonts w:hint="eastAsia" w:ascii="宋体" w:hAnsi="宋体" w:eastAsia="宋体" w:cs="宋体"/>
          <w:sz w:val="24"/>
          <w:szCs w:val="24"/>
        </w:rPr>
        <w:t>周期：20个自然日</w:t>
      </w:r>
      <w:r>
        <w:rPr>
          <w:rFonts w:hint="eastAsia" w:ascii="宋体" w:hAnsi="宋体" w:eastAsia="宋体" w:cs="宋体"/>
          <w:sz w:val="24"/>
          <w:szCs w:val="24"/>
          <w:lang w:eastAsia="zh-CN"/>
        </w:rPr>
        <w:t>。</w:t>
      </w:r>
    </w:p>
    <w:p>
      <w:pPr>
        <w:widowControl/>
        <w:spacing w:line="360" w:lineRule="auto"/>
        <w:jc w:val="left"/>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sz w:val="24"/>
          <w:szCs w:val="24"/>
          <w:lang w:val="en-US" w:eastAsia="zh-CN"/>
        </w:rPr>
        <w:t xml:space="preserve">3. </w:t>
      </w:r>
      <w:r>
        <w:rPr>
          <w:rFonts w:hint="eastAsia" w:ascii="宋体" w:hAnsi="宋体" w:eastAsia="宋体" w:cs="宋体"/>
          <w:b/>
          <w:bCs/>
          <w:sz w:val="24"/>
          <w:szCs w:val="24"/>
        </w:rPr>
        <w:t>子宫内膜微生物检测</w:t>
      </w:r>
    </w:p>
    <w:p>
      <w:pPr>
        <w:widowControl/>
        <w:spacing w:line="360" w:lineRule="auto"/>
        <w:ind w:firstLine="480" w:firstLineChars="200"/>
        <w:jc w:val="left"/>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w:t>
      </w:r>
      <w:r>
        <w:rPr>
          <w:rFonts w:hint="eastAsia" w:ascii="宋体" w:hAnsi="宋体" w:eastAsia="宋体" w:cs="宋体"/>
          <w:color w:val="000000" w:themeColor="text1"/>
          <w:sz w:val="24"/>
          <w:szCs w:val="24"/>
          <w14:textFill>
            <w14:solidFill>
              <w14:schemeClr w14:val="tx1"/>
            </w14:solidFill>
          </w14:textFill>
        </w:rPr>
        <w:t>检测方法：基于RNA提取进行16s rRNA高通量测序方法，包含V2-V4、V6-V9区域，且需具备建立RNA提取、文库浓度、测序数据等多环节质控流程</w:t>
      </w:r>
      <w:r>
        <w:rPr>
          <w:rFonts w:hint="eastAsia" w:ascii="宋体" w:hAnsi="宋体" w:eastAsia="宋体" w:cs="宋体"/>
          <w:color w:val="000000" w:themeColor="text1"/>
          <w:sz w:val="24"/>
          <w:szCs w:val="24"/>
          <w:lang w:eastAsia="zh-CN"/>
          <w14:textFill>
            <w14:solidFill>
              <w14:schemeClr w14:val="tx1"/>
            </w14:solidFill>
          </w14:textFill>
        </w:rPr>
        <w:t>。</w:t>
      </w:r>
    </w:p>
    <w:p>
      <w:pPr>
        <w:widowControl/>
        <w:spacing w:line="360" w:lineRule="auto"/>
        <w:ind w:firstLine="480" w:firstLineChars="20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2）检测性能</w:t>
      </w:r>
      <w:r>
        <w:rPr>
          <w:rFonts w:hint="eastAsia" w:ascii="宋体" w:hAnsi="宋体" w:eastAsia="宋体" w:cs="宋体"/>
          <w:color w:val="000000" w:themeColor="text1"/>
          <w:sz w:val="24"/>
          <w:szCs w:val="24"/>
          <w14:textFill>
            <w14:solidFill>
              <w14:schemeClr w14:val="tx1"/>
            </w14:solidFill>
          </w14:textFill>
        </w:rPr>
        <w:t>：单样本测序1,00,000条序列，mapping rate&gt;70%</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已知内膜炎致病菌10种，含量高于千分之一均可检出。</w:t>
      </w:r>
    </w:p>
    <w:p>
      <w:pPr>
        <w:widowControl/>
        <w:spacing w:line="360" w:lineRule="auto"/>
        <w:ind w:firstLine="480" w:firstLineChars="200"/>
        <w:jc w:val="left"/>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14:textFill>
            <w14:solidFill>
              <w14:schemeClr w14:val="tx1"/>
            </w14:solidFill>
          </w14:textFill>
        </w:rPr>
        <w:t>样本类型</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子宫内膜组织，宫腔液，宫颈粘液，阴道分泌物等</w:t>
      </w:r>
      <w:r>
        <w:rPr>
          <w:rFonts w:hint="eastAsia" w:ascii="宋体" w:hAnsi="宋体" w:eastAsia="宋体" w:cs="宋体"/>
          <w:color w:val="000000" w:themeColor="text1"/>
          <w:sz w:val="24"/>
          <w:szCs w:val="24"/>
          <w:lang w:eastAsia="zh-CN"/>
          <w14:textFill>
            <w14:solidFill>
              <w14:schemeClr w14:val="tx1"/>
            </w14:solidFill>
          </w14:textFill>
        </w:rPr>
        <w:t>。</w:t>
      </w:r>
    </w:p>
    <w:p>
      <w:pPr>
        <w:widowControl/>
        <w:spacing w:line="360" w:lineRule="auto"/>
        <w:ind w:firstLine="480" w:firstLineChars="200"/>
        <w:jc w:val="left"/>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4）</w:t>
      </w:r>
      <w:r>
        <w:rPr>
          <w:rFonts w:hint="eastAsia" w:ascii="宋体" w:hAnsi="宋体" w:eastAsia="宋体" w:cs="宋体"/>
          <w:color w:val="000000" w:themeColor="text1"/>
          <w:sz w:val="24"/>
          <w:szCs w:val="24"/>
          <w14:textFill>
            <w14:solidFill>
              <w14:schemeClr w14:val="tx1"/>
            </w14:solidFill>
          </w14:textFill>
        </w:rPr>
        <w:t>需具有RIF或RSA人群临床妊娠提升的有效循证医学证据</w:t>
      </w:r>
      <w:r>
        <w:rPr>
          <w:rFonts w:hint="eastAsia" w:ascii="宋体" w:hAnsi="宋体" w:eastAsia="宋体" w:cs="宋体"/>
          <w:color w:val="000000" w:themeColor="text1"/>
          <w:sz w:val="24"/>
          <w:szCs w:val="24"/>
          <w:lang w:eastAsia="zh-CN"/>
          <w14:textFill>
            <w14:solidFill>
              <w14:schemeClr w14:val="tx1"/>
            </w14:solidFill>
          </w14:textFill>
        </w:rPr>
        <w:t>。</w:t>
      </w:r>
    </w:p>
    <w:p>
      <w:pPr>
        <w:widowControl/>
        <w:spacing w:line="360" w:lineRule="auto"/>
        <w:ind w:firstLine="480" w:firstLineChars="200"/>
        <w:jc w:val="left"/>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5）</w:t>
      </w:r>
      <w:r>
        <w:rPr>
          <w:rFonts w:hint="eastAsia" w:ascii="宋体" w:hAnsi="宋体" w:eastAsia="宋体" w:cs="宋体"/>
          <w:color w:val="000000" w:themeColor="text1"/>
          <w:sz w:val="24"/>
          <w:szCs w:val="24"/>
          <w14:textFill>
            <w14:solidFill>
              <w14:schemeClr w14:val="tx1"/>
            </w14:solidFill>
          </w14:textFill>
        </w:rPr>
        <w:t>检测范围：可提供人类子宫内膜组织的微生物菌群占比和导致子宫内膜炎的致病菌，精确至属</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可报出900种以上微生物菌群种类，同时能提供包含乳酸杆菌在内的至少十种微生物菌群的具体占比，可提供至少十种致病菌的具体占比，可提供相应的用药方案</w:t>
      </w:r>
      <w:r>
        <w:rPr>
          <w:rFonts w:hint="eastAsia" w:ascii="宋体" w:hAnsi="宋体" w:eastAsia="宋体" w:cs="宋体"/>
          <w:color w:val="000000" w:themeColor="text1"/>
          <w:sz w:val="24"/>
          <w:szCs w:val="24"/>
          <w:lang w:eastAsia="zh-CN"/>
          <w14:textFill>
            <w14:solidFill>
              <w14:schemeClr w14:val="tx1"/>
            </w14:solidFill>
          </w14:textFill>
        </w:rPr>
        <w:t>。</w:t>
      </w:r>
    </w:p>
    <w:p>
      <w:pPr>
        <w:widowControl/>
        <w:spacing w:line="360" w:lineRule="auto"/>
        <w:ind w:firstLine="480" w:firstLineChars="20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6）</w:t>
      </w:r>
      <w:r>
        <w:rPr>
          <w:rFonts w:hint="eastAsia" w:ascii="宋体" w:hAnsi="宋体" w:eastAsia="宋体" w:cs="宋体"/>
          <w:color w:val="000000" w:themeColor="text1"/>
          <w:sz w:val="24"/>
          <w:szCs w:val="24"/>
          <w14:textFill>
            <w14:solidFill>
              <w14:schemeClr w14:val="tx1"/>
            </w14:solidFill>
          </w14:textFill>
        </w:rPr>
        <w:t>检测性能：能够检测低生物量样本的微生物状态，能够有效避免试剂耗材微生物带来检测准确性干扰</w:t>
      </w:r>
    </w:p>
    <w:p>
      <w:pPr>
        <w:widowControl/>
        <w:spacing w:line="360" w:lineRule="auto"/>
        <w:ind w:firstLine="480" w:firstLineChars="200"/>
        <w:jc w:val="left"/>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7）报告</w:t>
      </w:r>
      <w:r>
        <w:rPr>
          <w:rFonts w:hint="eastAsia" w:ascii="宋体" w:hAnsi="宋体" w:eastAsia="宋体" w:cs="宋体"/>
          <w:color w:val="000000" w:themeColor="text1"/>
          <w:sz w:val="24"/>
          <w:szCs w:val="24"/>
          <w14:textFill>
            <w14:solidFill>
              <w14:schemeClr w14:val="tx1"/>
            </w14:solidFill>
          </w14:textFill>
        </w:rPr>
        <w:t>周期：10个自然日</w:t>
      </w:r>
      <w:r>
        <w:rPr>
          <w:rFonts w:hint="eastAsia" w:ascii="宋体" w:hAnsi="宋体" w:eastAsia="宋体" w:cs="宋体"/>
          <w:color w:val="000000" w:themeColor="text1"/>
          <w:sz w:val="24"/>
          <w:szCs w:val="24"/>
          <w:lang w:eastAsia="zh-CN"/>
          <w14:textFill>
            <w14:solidFill>
              <w14:schemeClr w14:val="tx1"/>
            </w14:solidFill>
          </w14:textFill>
        </w:rPr>
        <w:t>。</w:t>
      </w:r>
    </w:p>
    <w:p>
      <w:pPr>
        <w:widowControl/>
        <w:spacing w:line="360" w:lineRule="auto"/>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 xml:space="preserve">4. </w:t>
      </w:r>
      <w:r>
        <w:rPr>
          <w:rFonts w:hint="eastAsia" w:ascii="宋体" w:hAnsi="宋体" w:eastAsia="宋体" w:cs="宋体"/>
          <w:b/>
          <w:bCs/>
          <w:color w:val="000000" w:themeColor="text1"/>
          <w:sz w:val="24"/>
          <w:szCs w:val="24"/>
          <w14:textFill>
            <w14:solidFill>
              <w14:schemeClr w14:val="tx1"/>
            </w14:solidFill>
          </w14:textFill>
        </w:rPr>
        <w:t>单基因突变位点超深度测序（10000×）</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1）检测</w:t>
      </w:r>
      <w:r>
        <w:rPr>
          <w:rFonts w:hint="eastAsia" w:ascii="宋体" w:hAnsi="宋体" w:eastAsia="宋体" w:cs="宋体"/>
          <w:sz w:val="24"/>
          <w:szCs w:val="24"/>
          <w:lang w:eastAsia="zh-CN"/>
        </w:rPr>
        <w:t>方法</w:t>
      </w:r>
      <w:r>
        <w:rPr>
          <w:rFonts w:hint="eastAsia" w:ascii="宋体" w:hAnsi="宋体" w:eastAsia="宋体" w:cs="宋体"/>
          <w:sz w:val="24"/>
          <w:szCs w:val="24"/>
        </w:rPr>
        <w:t>：基于NGS二代高通量测序技术平台</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2）检测范围：对基因组上已知目标突变位点进行特异性扩增并测序分析，确定突变比例。</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3）检测性能：针对目标位点达到10000X以上测序深度</w:t>
      </w:r>
      <w:r>
        <w:rPr>
          <w:rFonts w:hint="eastAsia" w:ascii="宋体" w:hAnsi="宋体" w:eastAsia="宋体" w:cs="宋体"/>
          <w:sz w:val="24"/>
          <w:szCs w:val="24"/>
          <w:lang w:eastAsia="zh-CN"/>
        </w:rPr>
        <w:t>；</w:t>
      </w:r>
      <w:r>
        <w:rPr>
          <w:rFonts w:hint="eastAsia" w:ascii="宋体" w:hAnsi="宋体" w:eastAsia="宋体" w:cs="宋体"/>
          <w:sz w:val="24"/>
          <w:szCs w:val="24"/>
        </w:rPr>
        <w:t>可检测已知低比例嵌合或体细胞突变。</w:t>
      </w:r>
    </w:p>
    <w:p>
      <w:pPr>
        <w:spacing w:line="36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4）</w:t>
      </w:r>
      <w:r>
        <w:rPr>
          <w:rFonts w:hint="eastAsia" w:ascii="宋体" w:hAnsi="宋体" w:eastAsia="宋体" w:cs="宋体"/>
          <w:sz w:val="24"/>
          <w:szCs w:val="24"/>
          <w:lang w:eastAsia="zh-CN"/>
        </w:rPr>
        <w:t>报告</w:t>
      </w:r>
      <w:r>
        <w:rPr>
          <w:rFonts w:hint="eastAsia" w:ascii="宋体" w:hAnsi="宋体" w:eastAsia="宋体" w:cs="宋体"/>
          <w:sz w:val="24"/>
          <w:szCs w:val="24"/>
        </w:rPr>
        <w:t>周期：28个自然日</w:t>
      </w:r>
      <w:r>
        <w:rPr>
          <w:rFonts w:hint="eastAsia" w:ascii="宋体" w:hAnsi="宋体" w:eastAsia="宋体" w:cs="宋体"/>
          <w:sz w:val="24"/>
          <w:szCs w:val="24"/>
          <w:lang w:eastAsia="zh-CN"/>
        </w:rPr>
        <w:t>。</w:t>
      </w:r>
    </w:p>
    <w:p>
      <w:pPr>
        <w:spacing w:line="520" w:lineRule="exact"/>
        <w:rPr>
          <w:rFonts w:hint="default" w:ascii="Times New Roman" w:hAnsi="Times New Roman" w:eastAsia="黑体" w:cs="Times New Roman"/>
          <w:sz w:val="28"/>
          <w:szCs w:val="21"/>
        </w:rPr>
      </w:pPr>
      <w:r>
        <w:rPr>
          <w:rFonts w:hint="default" w:ascii="Times New Roman" w:hAnsi="Times New Roman" w:eastAsia="黑体" w:cs="Times New Roman"/>
          <w:sz w:val="28"/>
          <w:szCs w:val="21"/>
        </w:rPr>
        <w:t>四、服务期</w:t>
      </w:r>
    </w:p>
    <w:p>
      <w:pPr>
        <w:spacing w:line="520" w:lineRule="exact"/>
        <w:rPr>
          <w:rFonts w:hint="default" w:ascii="Times New Roman" w:hAnsi="Times New Roman" w:eastAsia="黑体" w:cs="Times New Roman"/>
          <w:sz w:val="28"/>
          <w:szCs w:val="21"/>
          <w:lang w:val="en-US" w:eastAsia="zh-CN"/>
        </w:rPr>
      </w:pPr>
      <w:r>
        <w:rPr>
          <w:rFonts w:hint="eastAsia" w:ascii="Times New Roman" w:hAnsi="Times New Roman" w:eastAsia="黑体" w:cs="Times New Roman"/>
          <w:sz w:val="28"/>
          <w:szCs w:val="21"/>
          <w:lang w:val="en-US" w:eastAsia="zh-CN"/>
        </w:rPr>
        <w:t xml:space="preserve">    </w:t>
      </w:r>
      <w:r>
        <w:rPr>
          <w:rFonts w:hint="eastAsia" w:ascii="Times New Roman" w:hAnsi="Times New Roman" w:eastAsia="宋体" w:cs="Times New Roman"/>
          <w:kern w:val="2"/>
          <w:sz w:val="24"/>
          <w:szCs w:val="20"/>
          <w:lang w:val="en-US" w:eastAsia="zh-CN" w:bidi="ar-SA"/>
        </w:rPr>
        <w:t xml:space="preserve"> 2年。</w:t>
      </w:r>
    </w:p>
    <w:p>
      <w:pPr>
        <w:ind w:firstLine="480" w:firstLineChars="200"/>
        <w:rPr>
          <w:rFonts w:hint="eastAsia" w:ascii="宋体" w:hAnsi="宋体" w:eastAsia="宋体" w:cs="宋体"/>
          <w:color w:val="000000" w:themeColor="text1"/>
          <w:kern w:val="0"/>
          <w:sz w:val="24"/>
          <w:szCs w:val="24"/>
          <w:shd w:val="clear" w:color="auto" w:fill="FFFFFF"/>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E9B478"/>
    <w:multiLevelType w:val="singleLevel"/>
    <w:tmpl w:val="D2E9B478"/>
    <w:lvl w:ilvl="0" w:tentative="0">
      <w:start w:val="3"/>
      <w:numFmt w:val="chineseCounting"/>
      <w:suff w:val="nothing"/>
      <w:lvlText w:val="%1、"/>
      <w:lvlJc w:val="left"/>
      <w:rPr>
        <w:rFonts w:hint="eastAsia"/>
      </w:rPr>
    </w:lvl>
  </w:abstractNum>
  <w:abstractNum w:abstractNumId="1">
    <w:nsid w:val="FD63E012"/>
    <w:multiLevelType w:val="singleLevel"/>
    <w:tmpl w:val="FD63E012"/>
    <w:lvl w:ilvl="0" w:tentative="0">
      <w:start w:val="1"/>
      <w:numFmt w:val="chineseCounting"/>
      <w:suff w:val="nothing"/>
      <w:lvlText w:val="%1、"/>
      <w:lvlJc w:val="left"/>
      <w:rPr>
        <w:rFonts w:hint="eastAsia"/>
      </w:rPr>
    </w:lvl>
  </w:abstractNum>
  <w:abstractNum w:abstractNumId="2">
    <w:nsid w:val="1A5E1735"/>
    <w:multiLevelType w:val="singleLevel"/>
    <w:tmpl w:val="1A5E1735"/>
    <w:lvl w:ilvl="0" w:tentative="0">
      <w:start w:val="1"/>
      <w:numFmt w:val="decimal"/>
      <w:lvlText w:val="%1."/>
      <w:lvlJc w:val="left"/>
      <w:pPr>
        <w:ind w:left="425" w:hanging="425"/>
      </w:pPr>
      <w:rPr>
        <w:rFonts w:hint="default"/>
      </w:rPr>
    </w:lvl>
  </w:abstractNum>
  <w:abstractNum w:abstractNumId="3">
    <w:nsid w:val="2632B02C"/>
    <w:multiLevelType w:val="singleLevel"/>
    <w:tmpl w:val="2632B02C"/>
    <w:lvl w:ilvl="0" w:tentative="0">
      <w:start w:val="1"/>
      <w:numFmt w:val="decimal"/>
      <w:suff w:val="space"/>
      <w:lvlText w:val="%1."/>
      <w:lvlJc w:val="left"/>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0NjRjZDE5M2JmM2M2MzJhNWIxZmRmZjUxOWJmMmMifQ=="/>
  </w:docVars>
  <w:rsids>
    <w:rsidRoot w:val="7EFEF065"/>
    <w:rsid w:val="000037B9"/>
    <w:rsid w:val="001E51D7"/>
    <w:rsid w:val="008C7360"/>
    <w:rsid w:val="00A87951"/>
    <w:rsid w:val="086326AC"/>
    <w:rsid w:val="180E295A"/>
    <w:rsid w:val="1A0C62C1"/>
    <w:rsid w:val="22573150"/>
    <w:rsid w:val="3D0B593D"/>
    <w:rsid w:val="4EE64F00"/>
    <w:rsid w:val="4FEE5CBA"/>
    <w:rsid w:val="584F425D"/>
    <w:rsid w:val="7A252A8D"/>
    <w:rsid w:val="7EFEF065"/>
    <w:rsid w:val="DABEA0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0"/>
    <w:pPr>
      <w:keepNext/>
      <w:keepLines/>
      <w:spacing w:before="260" w:after="260" w:line="413" w:lineRule="auto"/>
      <w:outlineLvl w:val="1"/>
    </w:pPr>
    <w:rPr>
      <w:rFonts w:ascii="Arial" w:hAnsi="Arial" w:eastAsia="黑体"/>
      <w:b/>
      <w:sz w:val="32"/>
    </w:rPr>
  </w:style>
  <w:style w:type="paragraph" w:styleId="3">
    <w:name w:val="heading 4"/>
    <w:basedOn w:val="1"/>
    <w:next w:val="1"/>
    <w:link w:val="16"/>
    <w:unhideWhenUsed/>
    <w:qFormat/>
    <w:uiPriority w:val="0"/>
    <w:pPr>
      <w:keepNext/>
      <w:keepLines/>
      <w:spacing w:before="280" w:after="290" w:line="372" w:lineRule="auto"/>
      <w:outlineLvl w:val="3"/>
    </w:pPr>
    <w:rPr>
      <w:rFonts w:ascii="Arial" w:hAnsi="Arial" w:eastAsia="黑体"/>
      <w:b/>
      <w:sz w:val="28"/>
    </w:rPr>
  </w:style>
  <w:style w:type="character" w:default="1" w:styleId="10">
    <w:name w:val="Default Paragraph Font"/>
    <w:semiHidden/>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4">
    <w:name w:val="Body Text"/>
    <w:basedOn w:val="1"/>
    <w:link w:val="18"/>
    <w:qFormat/>
    <w:uiPriority w:val="0"/>
    <w:pPr>
      <w:spacing w:after="120"/>
    </w:pPr>
  </w:style>
  <w:style w:type="paragraph" w:styleId="5">
    <w:name w:val="footer"/>
    <w:basedOn w:val="1"/>
    <w:link w:val="14"/>
    <w:qFormat/>
    <w:uiPriority w:val="0"/>
    <w:pPr>
      <w:tabs>
        <w:tab w:val="center" w:pos="4153"/>
        <w:tab w:val="right" w:pos="8306"/>
      </w:tabs>
      <w:snapToGrid w:val="0"/>
      <w:jc w:val="left"/>
    </w:pPr>
    <w:rPr>
      <w:sz w:val="18"/>
      <w:szCs w:val="18"/>
    </w:rPr>
  </w:style>
  <w:style w:type="paragraph" w:styleId="6">
    <w:name w:val="header"/>
    <w:basedOn w:val="1"/>
    <w:link w:val="13"/>
    <w:qFormat/>
    <w:uiPriority w:val="0"/>
    <w:pPr>
      <w:tabs>
        <w:tab w:val="center" w:pos="4153"/>
        <w:tab w:val="right" w:pos="8306"/>
      </w:tabs>
      <w:snapToGrid w:val="0"/>
      <w:jc w:val="center"/>
    </w:pPr>
    <w:rPr>
      <w:sz w:val="18"/>
      <w:szCs w:val="18"/>
    </w:rPr>
  </w:style>
  <w:style w:type="paragraph" w:styleId="7">
    <w:name w:val="toc 2"/>
    <w:basedOn w:val="1"/>
    <w:next w:val="1"/>
    <w:qFormat/>
    <w:uiPriority w:val="39"/>
    <w:pPr>
      <w:tabs>
        <w:tab w:val="right" w:leader="middleDot" w:pos="8296"/>
      </w:tabs>
      <w:ind w:firstLine="403"/>
    </w:pPr>
    <w:rPr>
      <w:rFonts w:cs="Courier New"/>
    </w:rPr>
  </w:style>
  <w:style w:type="table" w:styleId="9">
    <w:name w:val="Table Grid"/>
    <w:basedOn w:val="8"/>
    <w:unhideWhenUsed/>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unhideWhenUsed/>
    <w:qFormat/>
    <w:uiPriority w:val="34"/>
    <w:pPr>
      <w:ind w:firstLine="420" w:firstLineChars="200"/>
    </w:pPr>
  </w:style>
  <w:style w:type="paragraph" w:customStyle="1" w:styleId="12">
    <w:name w:val="WPSOffice手动目录 1"/>
    <w:qFormat/>
    <w:uiPriority w:val="0"/>
    <w:rPr>
      <w:rFonts w:ascii="Times New Roman" w:hAnsi="Times New Roman" w:eastAsia="宋体" w:cs="Times New Roman"/>
      <w:lang w:val="en-US" w:eastAsia="zh-CN" w:bidi="ar-SA"/>
    </w:rPr>
  </w:style>
  <w:style w:type="character" w:customStyle="1" w:styleId="13">
    <w:name w:val="页眉 字符"/>
    <w:basedOn w:val="10"/>
    <w:link w:val="6"/>
    <w:qFormat/>
    <w:uiPriority w:val="0"/>
    <w:rPr>
      <w:rFonts w:asciiTheme="minorHAnsi" w:hAnsiTheme="minorHAnsi" w:eastAsiaTheme="minorEastAsia" w:cstheme="minorBidi"/>
      <w:kern w:val="2"/>
      <w:sz w:val="18"/>
      <w:szCs w:val="18"/>
    </w:rPr>
  </w:style>
  <w:style w:type="character" w:customStyle="1" w:styleId="14">
    <w:name w:val="页脚 字符"/>
    <w:basedOn w:val="10"/>
    <w:link w:val="5"/>
    <w:qFormat/>
    <w:uiPriority w:val="0"/>
    <w:rPr>
      <w:rFonts w:asciiTheme="minorHAnsi" w:hAnsiTheme="minorHAnsi" w:eastAsiaTheme="minorEastAsia" w:cstheme="minorBidi"/>
      <w:kern w:val="2"/>
      <w:sz w:val="18"/>
      <w:szCs w:val="18"/>
    </w:rPr>
  </w:style>
  <w:style w:type="paragraph" w:customStyle="1" w:styleId="15">
    <w:name w:val="acbfdd8b-e11b-4d36-88ff-6049b138f862"/>
    <w:basedOn w:val="4"/>
    <w:link w:val="17"/>
    <w:qFormat/>
    <w:uiPriority w:val="0"/>
    <w:pPr>
      <w:adjustRightInd w:val="0"/>
      <w:spacing w:after="0" w:line="288" w:lineRule="auto"/>
      <w:jc w:val="left"/>
    </w:pPr>
    <w:rPr>
      <w:rFonts w:ascii="微软雅黑" w:hAnsi="微软雅黑" w:eastAsia="微软雅黑"/>
      <w:color w:val="000000"/>
      <w:sz w:val="22"/>
    </w:rPr>
  </w:style>
  <w:style w:type="character" w:customStyle="1" w:styleId="16">
    <w:name w:val="标题 4 字符"/>
    <w:basedOn w:val="10"/>
    <w:link w:val="3"/>
    <w:qFormat/>
    <w:uiPriority w:val="0"/>
    <w:rPr>
      <w:rFonts w:ascii="Arial" w:hAnsi="Arial" w:eastAsia="黑体" w:cstheme="minorBidi"/>
      <w:b/>
      <w:kern w:val="2"/>
      <w:sz w:val="28"/>
      <w:szCs w:val="24"/>
    </w:rPr>
  </w:style>
  <w:style w:type="character" w:customStyle="1" w:styleId="17">
    <w:name w:val="acbfdd8b-e11b-4d36-88ff-6049b138f862 字符"/>
    <w:basedOn w:val="16"/>
    <w:link w:val="15"/>
    <w:qFormat/>
    <w:uiPriority w:val="0"/>
    <w:rPr>
      <w:rFonts w:ascii="微软雅黑" w:hAnsi="微软雅黑" w:eastAsia="微软雅黑" w:cstheme="minorBidi"/>
      <w:b w:val="0"/>
      <w:color w:val="000000"/>
      <w:kern w:val="2"/>
      <w:sz w:val="22"/>
      <w:szCs w:val="24"/>
    </w:rPr>
  </w:style>
  <w:style w:type="character" w:customStyle="1" w:styleId="18">
    <w:name w:val="正文文本 字符"/>
    <w:basedOn w:val="10"/>
    <w:link w:val="4"/>
    <w:qFormat/>
    <w:uiPriority w:val="0"/>
    <w:rPr>
      <w:rFonts w:asciiTheme="minorHAnsi" w:hAnsiTheme="minorHAnsi" w:eastAsiaTheme="minorEastAsia" w:cstheme="minorBidi"/>
      <w:kern w:val="2"/>
      <w:sz w:val="21"/>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1717</Words>
  <Characters>1906</Characters>
  <Lines>16</Lines>
  <Paragraphs>4</Paragraphs>
  <TotalTime>0</TotalTime>
  <ScaleCrop>false</ScaleCrop>
  <LinksUpToDate>false</LinksUpToDate>
  <CharactersWithSpaces>1931</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2024-07-20T15:32:00Z</dcterms:created>
  <dc:creator>墨小白</dc:creator>
  <cp:lastModifiedBy>zyys</cp:lastModifiedBy>
  <dcterms:modified xsi:type="dcterms:W3CDTF">2025-04-10T02:42:51Z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FE30947DDE04454AA8D9B8B9FE9114CF_13</vt:lpwstr>
  </property>
</Properties>
</file>