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76BE7A">
      <w:pPr>
        <w:spacing w:line="360" w:lineRule="auto"/>
        <w:rPr>
          <w:rFonts w:hint="eastAsia" w:ascii="宋体" w:hAnsi="宋体" w:eastAsia="宋体" w:cs="宋体"/>
          <w:b/>
          <w:color w:val="auto"/>
          <w:sz w:val="21"/>
          <w:szCs w:val="21"/>
          <w:lang w:eastAsia="zh-CN"/>
        </w:rPr>
      </w:pPr>
      <w:r>
        <w:rPr>
          <w:rFonts w:hint="eastAsia" w:ascii="宋体" w:hAnsi="宋体" w:eastAsia="宋体" w:cs="宋体"/>
          <w:b/>
          <w:color w:val="auto"/>
          <w:sz w:val="21"/>
          <w:szCs w:val="21"/>
        </w:rPr>
        <w:t>一、</w:t>
      </w:r>
      <w:r>
        <w:rPr>
          <w:rFonts w:hint="eastAsia" w:ascii="宋体" w:hAnsi="宋体" w:eastAsia="宋体" w:cs="宋体"/>
          <w:b/>
          <w:color w:val="auto"/>
          <w:sz w:val="21"/>
          <w:szCs w:val="21"/>
          <w:lang w:eastAsia="zh-CN"/>
        </w:rPr>
        <w:t>采购清单</w:t>
      </w:r>
    </w:p>
    <w:tbl>
      <w:tblPr>
        <w:tblStyle w:val="23"/>
        <w:tblW w:w="845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1"/>
        <w:gridCol w:w="748"/>
        <w:gridCol w:w="976"/>
        <w:gridCol w:w="532"/>
        <w:gridCol w:w="875"/>
        <w:gridCol w:w="1900"/>
        <w:gridCol w:w="2714"/>
      </w:tblGrid>
      <w:tr w14:paraId="2F9E0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3"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89404">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rPr>
            </w:pPr>
            <w:r>
              <w:rPr>
                <w:rFonts w:hint="eastAsia" w:ascii="宋体" w:hAnsi="宋体" w:eastAsia="宋体" w:cs="宋体"/>
                <w:b/>
                <w:bCs/>
                <w:i w:val="0"/>
                <w:iCs w:val="0"/>
                <w:color w:val="000000" w:themeColor="text1"/>
                <w:kern w:val="0"/>
                <w:sz w:val="18"/>
                <w:szCs w:val="18"/>
                <w:u w:val="none"/>
                <w:lang w:val="en-US" w:eastAsia="zh-CN" w:bidi="ar"/>
              </w:rPr>
              <w:t>序号</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16F21">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rPr>
            </w:pPr>
            <w:r>
              <w:rPr>
                <w:rFonts w:hint="eastAsia" w:ascii="宋体" w:hAnsi="宋体" w:eastAsia="宋体" w:cs="宋体"/>
                <w:b/>
                <w:bCs/>
                <w:i w:val="0"/>
                <w:iCs w:val="0"/>
                <w:color w:val="000000" w:themeColor="text1"/>
                <w:kern w:val="0"/>
                <w:sz w:val="18"/>
                <w:szCs w:val="18"/>
                <w:u w:val="none"/>
                <w:lang w:val="en-US" w:eastAsia="zh-CN" w:bidi="ar"/>
              </w:rPr>
              <w:t>器材类型</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85564">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rPr>
            </w:pPr>
            <w:r>
              <w:rPr>
                <w:rFonts w:hint="eastAsia" w:ascii="宋体" w:hAnsi="宋体" w:eastAsia="宋体" w:cs="宋体"/>
                <w:b/>
                <w:bCs/>
                <w:i w:val="0"/>
                <w:iCs w:val="0"/>
                <w:color w:val="000000" w:themeColor="text1"/>
                <w:kern w:val="0"/>
                <w:sz w:val="18"/>
                <w:szCs w:val="18"/>
                <w:u w:val="none"/>
                <w:lang w:val="en-US" w:eastAsia="zh-CN" w:bidi="ar"/>
              </w:rPr>
              <w:t>器材名称</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ADEAD">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rPr>
            </w:pPr>
            <w:r>
              <w:rPr>
                <w:rFonts w:hint="eastAsia" w:ascii="宋体" w:hAnsi="宋体" w:eastAsia="宋体" w:cs="宋体"/>
                <w:b/>
                <w:bCs/>
                <w:i w:val="0"/>
                <w:iCs w:val="0"/>
                <w:color w:val="000000" w:themeColor="text1"/>
                <w:kern w:val="0"/>
                <w:sz w:val="18"/>
                <w:szCs w:val="18"/>
                <w:u w:val="none"/>
                <w:lang w:val="en-US" w:eastAsia="zh-CN" w:bidi="ar"/>
              </w:rPr>
              <w:t>数量</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7CD3">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rPr>
            </w:pPr>
            <w:r>
              <w:rPr>
                <w:rFonts w:hint="eastAsia" w:ascii="宋体" w:hAnsi="宋体" w:eastAsia="宋体" w:cs="宋体"/>
                <w:b/>
                <w:bCs/>
                <w:i w:val="0"/>
                <w:iCs w:val="0"/>
                <w:color w:val="000000" w:themeColor="text1"/>
                <w:kern w:val="0"/>
                <w:sz w:val="18"/>
                <w:szCs w:val="18"/>
                <w:u w:val="none"/>
                <w:lang w:val="en-US" w:eastAsia="zh-CN" w:bidi="ar"/>
              </w:rPr>
              <w:t>单位</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E30A">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rPr>
            </w:pPr>
            <w:r>
              <w:rPr>
                <w:rFonts w:hint="eastAsia" w:ascii="宋体" w:hAnsi="宋体" w:eastAsia="宋体" w:cs="宋体"/>
                <w:b/>
                <w:bCs/>
                <w:i w:val="0"/>
                <w:iCs w:val="0"/>
                <w:color w:val="000000" w:themeColor="text1"/>
                <w:kern w:val="0"/>
                <w:sz w:val="18"/>
                <w:szCs w:val="18"/>
                <w:u w:val="none"/>
                <w:lang w:val="en-US" w:eastAsia="zh-CN" w:bidi="ar"/>
              </w:rPr>
              <w:t>功能</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A16F1">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rPr>
            </w:pPr>
            <w:r>
              <w:rPr>
                <w:rFonts w:hint="eastAsia" w:ascii="宋体" w:hAnsi="宋体" w:eastAsia="宋体" w:cs="宋体"/>
                <w:b/>
                <w:bCs/>
                <w:i w:val="0"/>
                <w:iCs w:val="0"/>
                <w:color w:val="000000" w:themeColor="text1"/>
                <w:kern w:val="0"/>
                <w:sz w:val="18"/>
                <w:szCs w:val="18"/>
                <w:u w:val="none"/>
                <w:lang w:val="en-US" w:eastAsia="zh-CN" w:bidi="ar"/>
              </w:rPr>
              <w:t>参数及规格</w:t>
            </w:r>
          </w:p>
        </w:tc>
      </w:tr>
      <w:tr w14:paraId="7A188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A491">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rPr>
            </w:pPr>
            <w:r>
              <w:rPr>
                <w:rFonts w:hint="eastAsia" w:ascii="宋体" w:hAnsi="宋体" w:eastAsia="宋体" w:cs="宋体"/>
                <w:i w:val="0"/>
                <w:iCs w:val="0"/>
                <w:color w:val="000000" w:themeColor="text1"/>
                <w:kern w:val="0"/>
                <w:sz w:val="18"/>
                <w:szCs w:val="18"/>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3D02">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rPr>
            </w:pPr>
            <w:r>
              <w:rPr>
                <w:rFonts w:hint="eastAsia" w:ascii="宋体" w:hAnsi="宋体" w:eastAsia="宋体" w:cs="宋体"/>
                <w:i w:val="0"/>
                <w:iCs w:val="0"/>
                <w:color w:val="000000" w:themeColor="text1"/>
                <w:kern w:val="0"/>
                <w:sz w:val="18"/>
                <w:szCs w:val="18"/>
                <w:u w:val="none"/>
                <w:lang w:val="en-US" w:eastAsia="zh-CN" w:bidi="ar"/>
              </w:rPr>
              <w:t>竞赛专用器材</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6CDEB">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rPr>
            </w:pPr>
            <w:r>
              <w:rPr>
                <w:color w:val="000000"/>
                <w:shd w:val="clear" w:fill="FFFFFF"/>
              </w:rPr>
              <w:t>△</w:t>
            </w:r>
            <w:r>
              <w:rPr>
                <w:rFonts w:hint="eastAsia" w:ascii="宋体" w:hAnsi="宋体" w:eastAsia="宋体" w:cs="宋体"/>
                <w:i w:val="0"/>
                <w:iCs w:val="0"/>
                <w:color w:val="000000" w:themeColor="text1"/>
                <w:kern w:val="0"/>
                <w:sz w:val="18"/>
                <w:szCs w:val="18"/>
                <w:u w:val="none"/>
                <w:lang w:val="en-US" w:eastAsia="zh-CN" w:bidi="ar"/>
              </w:rPr>
              <w:t>排球专用塑胶场地</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B7BCC">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rPr>
            </w:pPr>
            <w:r>
              <w:rPr>
                <w:rFonts w:hint="eastAsia" w:ascii="宋体" w:hAnsi="宋体" w:eastAsia="宋体" w:cs="宋体"/>
                <w:i w:val="0"/>
                <w:iCs w:val="0"/>
                <w:color w:val="000000" w:themeColor="text1"/>
                <w:kern w:val="0"/>
                <w:sz w:val="18"/>
                <w:szCs w:val="18"/>
                <w:u w:val="none"/>
                <w:lang w:val="en-US" w:eastAsia="zh-CN" w:bidi="ar"/>
              </w:rPr>
              <w:t>12</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DAE4C">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rPr>
            </w:pPr>
            <w:r>
              <w:rPr>
                <w:rFonts w:hint="eastAsia" w:ascii="宋体" w:hAnsi="宋体" w:eastAsia="宋体" w:cs="宋体"/>
                <w:i w:val="0"/>
                <w:iCs w:val="0"/>
                <w:color w:val="000000" w:themeColor="text1"/>
                <w:kern w:val="0"/>
                <w:sz w:val="18"/>
                <w:szCs w:val="18"/>
                <w:u w:val="none"/>
                <w:lang w:val="en-US" w:eastAsia="zh-CN" w:bidi="ar"/>
              </w:rPr>
              <w:t>片</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C9FC">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rPr>
            </w:pPr>
            <w:r>
              <w:rPr>
                <w:rFonts w:hint="eastAsia" w:ascii="宋体" w:hAnsi="宋体" w:eastAsia="宋体" w:cs="宋体"/>
                <w:i w:val="0"/>
                <w:iCs w:val="0"/>
                <w:color w:val="000000" w:themeColor="text1"/>
                <w:kern w:val="0"/>
                <w:sz w:val="18"/>
                <w:szCs w:val="18"/>
                <w:u w:val="none"/>
                <w:lang w:val="en-US" w:eastAsia="zh-CN" w:bidi="ar"/>
              </w:rPr>
              <w:t>36m×21m,三色胶（无障碍区为蓝色，比赛场区的进攻区为深橙色、后场区为浅深橙色），地胶厚度为7.5mm</w:t>
            </w:r>
            <w:r>
              <w:rPr>
                <w:rFonts w:hint="eastAsia" w:ascii="宋体" w:hAnsi="宋体" w:eastAsia="宋体" w:cs="宋体"/>
                <w:i w:val="0"/>
                <w:iCs w:val="0"/>
                <w:color w:val="000000" w:themeColor="text1"/>
                <w:kern w:val="0"/>
                <w:sz w:val="18"/>
                <w:szCs w:val="18"/>
                <w:u w:val="none"/>
                <w:lang w:val="en-US" w:eastAsia="zh-CN" w:bidi="ar"/>
              </w:rPr>
              <w:br w:type="textWrapping"/>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D3DA">
            <w:pPr>
              <w:keepNext w:val="0"/>
              <w:keepLines w:val="0"/>
              <w:widowControl/>
              <w:suppressLineNumbers w:val="0"/>
              <w:jc w:val="left"/>
              <w:textAlignment w:val="center"/>
              <w:rPr>
                <w:rFonts w:hint="eastAsia" w:ascii="宋体" w:hAnsi="宋体" w:eastAsia="宋体" w:cs="宋体"/>
                <w:i w:val="0"/>
                <w:iCs w:val="0"/>
                <w:color w:val="000000" w:themeColor="text1"/>
                <w:kern w:val="0"/>
                <w:sz w:val="18"/>
                <w:szCs w:val="18"/>
                <w:u w:val="none"/>
                <w:lang w:val="en-US" w:eastAsia="zh-CN" w:bidi="ar"/>
              </w:rPr>
            </w:pPr>
            <w:r>
              <w:rPr>
                <w:rFonts w:hint="eastAsia" w:ascii="宋体" w:hAnsi="宋体" w:eastAsia="宋体" w:cs="宋体"/>
                <w:i w:val="0"/>
                <w:iCs w:val="0"/>
                <w:color w:val="000000" w:themeColor="text1"/>
                <w:kern w:val="0"/>
                <w:sz w:val="18"/>
                <w:szCs w:val="18"/>
                <w:u w:val="none"/>
                <w:lang w:val="en-US" w:eastAsia="zh-CN" w:bidi="ar"/>
              </w:rPr>
              <w:t>1、规格：36米×21米，厚度7.5mm                                                            2、排球地板基本指标：颜色：国际排联国际比赛三色排球场(无障碍区为蓝色，比赛场区的进攻区为深橙色、后场区为浅深橙色)；表面：运动表面；</w:t>
            </w:r>
          </w:p>
          <w:p w14:paraId="68C1435C">
            <w:pPr>
              <w:keepNext w:val="0"/>
              <w:keepLines w:val="0"/>
              <w:widowControl/>
              <w:suppressLineNumbers w:val="0"/>
              <w:jc w:val="left"/>
              <w:textAlignment w:val="center"/>
              <w:rPr>
                <w:rFonts w:hint="eastAsia" w:ascii="宋体" w:hAnsi="宋体" w:eastAsia="宋体" w:cs="宋体"/>
                <w:i w:val="0"/>
                <w:iCs w:val="0"/>
                <w:color w:val="000000" w:themeColor="text1"/>
                <w:kern w:val="0"/>
                <w:sz w:val="18"/>
                <w:szCs w:val="18"/>
                <w:u w:val="none"/>
                <w:lang w:val="en-US" w:eastAsia="zh-CN" w:bidi="ar"/>
              </w:rPr>
            </w:pPr>
            <w:r>
              <w:rPr>
                <w:rFonts w:hint="eastAsia" w:ascii="宋体" w:hAnsi="宋体" w:eastAsia="宋体" w:cs="宋体"/>
                <w:i w:val="0"/>
                <w:iCs w:val="0"/>
                <w:color w:val="000000" w:themeColor="text1"/>
                <w:kern w:val="0"/>
                <w:sz w:val="18"/>
                <w:szCs w:val="18"/>
                <w:u w:val="none"/>
                <w:lang w:val="en-US" w:eastAsia="zh-CN" w:bidi="ar"/>
              </w:rPr>
              <w:t>3、地板材料成分：含81%的天然和回收成分，100% 可回收，符合环保，可持续性发展要求；</w:t>
            </w:r>
          </w:p>
          <w:p w14:paraId="33F0795C">
            <w:pPr>
              <w:keepNext w:val="0"/>
              <w:keepLines w:val="0"/>
              <w:widowControl/>
              <w:suppressLineNumbers w:val="0"/>
              <w:jc w:val="left"/>
              <w:textAlignment w:val="center"/>
              <w:rPr>
                <w:rFonts w:hint="eastAsia" w:ascii="宋体" w:hAnsi="宋体" w:eastAsia="宋体" w:cs="宋体"/>
                <w:i w:val="0"/>
                <w:iCs w:val="0"/>
                <w:color w:val="000000" w:themeColor="text1"/>
                <w:kern w:val="0"/>
                <w:sz w:val="18"/>
                <w:szCs w:val="18"/>
                <w:u w:val="none"/>
                <w:lang w:val="en-US" w:eastAsia="zh-CN" w:bidi="ar"/>
              </w:rPr>
            </w:pPr>
            <w:r>
              <w:rPr>
                <w:rFonts w:hint="eastAsia" w:ascii="宋体" w:hAnsi="宋体" w:eastAsia="宋体" w:cs="宋体"/>
                <w:i w:val="0"/>
                <w:iCs w:val="0"/>
                <w:color w:val="000000" w:themeColor="text1"/>
                <w:kern w:val="0"/>
                <w:sz w:val="18"/>
                <w:szCs w:val="18"/>
                <w:u w:val="none"/>
                <w:lang w:val="en-US" w:eastAsia="zh-CN" w:bidi="ar"/>
              </w:rPr>
              <w:t xml:space="preserve">▲4、地板材料结构：玻璃纤维网结构，辊压工艺高强度耐磨面层；                 </w:t>
            </w:r>
          </w:p>
          <w:p w14:paraId="19778AAE">
            <w:pPr>
              <w:keepNext w:val="0"/>
              <w:keepLines w:val="0"/>
              <w:widowControl/>
              <w:suppressLineNumbers w:val="0"/>
              <w:jc w:val="left"/>
              <w:textAlignment w:val="center"/>
              <w:rPr>
                <w:rFonts w:hint="eastAsia" w:ascii="宋体" w:hAnsi="宋体" w:eastAsia="宋体" w:cs="宋体"/>
                <w:i w:val="0"/>
                <w:iCs w:val="0"/>
                <w:color w:val="000000" w:themeColor="text1"/>
                <w:kern w:val="0"/>
                <w:sz w:val="18"/>
                <w:szCs w:val="18"/>
                <w:u w:val="none"/>
                <w:lang w:val="en-US" w:eastAsia="zh-CN" w:bidi="ar"/>
              </w:rPr>
            </w:pPr>
            <w:r>
              <w:rPr>
                <w:rFonts w:hint="eastAsia" w:ascii="宋体" w:hAnsi="宋体" w:eastAsia="宋体" w:cs="宋体"/>
                <w:i w:val="0"/>
                <w:iCs w:val="0"/>
                <w:color w:val="000000" w:themeColor="text1"/>
                <w:kern w:val="0"/>
                <w:sz w:val="18"/>
                <w:szCs w:val="18"/>
                <w:u w:val="none"/>
                <w:lang w:val="en-US" w:eastAsia="zh-CN" w:bidi="ar"/>
              </w:rPr>
              <w:t>▲5、技术指标：冲击吸收：≥31%；抗滑值，干测：80-110；垂直变型：≤2.8mm；拉伸强度： ≥ 3MPa；扯断伸长率：≥100%；球类反弹：≥93%；阻燃性：I级；                                                                      6、技术指标：震动吸收：32%（EN标准≥25%）；摩擦系数：88（（EN标准80-110）；垂直变形：≤0.8(EN标准≤5mm)；球类反弹:≥92%（EN标准≥90%）</w:t>
            </w:r>
          </w:p>
          <w:p w14:paraId="482EBE77">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rPr>
            </w:pPr>
            <w:r>
              <w:rPr>
                <w:rFonts w:hint="eastAsia" w:ascii="宋体" w:hAnsi="宋体" w:eastAsia="宋体" w:cs="宋体"/>
                <w:i w:val="0"/>
                <w:iCs w:val="0"/>
                <w:color w:val="000000" w:themeColor="text1"/>
                <w:kern w:val="0"/>
                <w:sz w:val="18"/>
                <w:szCs w:val="18"/>
                <w:u w:val="none"/>
                <w:lang w:val="en-US" w:eastAsia="zh-CN" w:bidi="ar"/>
              </w:rPr>
              <w:t xml:space="preserve">▲7、提供具备法定资质的检测机构出具的带“CMA”或“CNAS”标志的检测报告扫描件；                   </w:t>
            </w:r>
          </w:p>
        </w:tc>
      </w:tr>
    </w:tbl>
    <w:p w14:paraId="35723644">
      <w:pPr>
        <w:spacing w:line="360" w:lineRule="auto"/>
        <w:rPr>
          <w:rFonts w:hint="eastAsia" w:ascii="宋体" w:hAnsi="宋体" w:eastAsia="宋体" w:cs="宋体"/>
          <w:b/>
          <w:color w:val="auto"/>
          <w:sz w:val="21"/>
          <w:szCs w:val="21"/>
          <w:lang w:val="en-US" w:eastAsia="zh-CN"/>
        </w:rPr>
      </w:pPr>
    </w:p>
    <w:p w14:paraId="0F5AB456">
      <w:pPr>
        <w:pStyle w:val="29"/>
        <w:jc w:val="both"/>
      </w:pPr>
      <w:r>
        <w:rPr>
          <w:rFonts w:hint="eastAsia" w:ascii="宋体" w:hAnsi="宋体" w:eastAsia="宋体" w:cs="宋体"/>
          <w:b/>
          <w:color w:val="auto"/>
          <w:sz w:val="21"/>
          <w:szCs w:val="21"/>
          <w:lang w:val="en-US" w:eastAsia="zh-CN"/>
        </w:rPr>
        <w:t>二、</w:t>
      </w:r>
      <w:r>
        <w:rPr>
          <w:b/>
        </w:rPr>
        <w:t>主要商务要求</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80"/>
        <w:gridCol w:w="6426"/>
      </w:tblGrid>
      <w:tr w14:paraId="2E7D2B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80" w:type="dxa"/>
          </w:tcPr>
          <w:p w14:paraId="44E1D464">
            <w:pPr>
              <w:pStyle w:val="29"/>
            </w:pPr>
            <w:r>
              <w:t>标的提供的时间</w:t>
            </w:r>
          </w:p>
        </w:tc>
        <w:tc>
          <w:tcPr>
            <w:tcW w:w="6426" w:type="dxa"/>
          </w:tcPr>
          <w:p w14:paraId="7A67092B">
            <w:pPr>
              <w:pStyle w:val="29"/>
            </w:pPr>
            <w:bookmarkStart w:id="0" w:name="_GoBack"/>
            <w:r>
              <w:t>自合同签订之日起30 日内完成交货、安装调试</w:t>
            </w:r>
            <w:bookmarkEnd w:id="0"/>
          </w:p>
        </w:tc>
      </w:tr>
      <w:tr w14:paraId="3C85C4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80" w:type="dxa"/>
          </w:tcPr>
          <w:p w14:paraId="0B68D228">
            <w:pPr>
              <w:pStyle w:val="29"/>
            </w:pPr>
            <w:r>
              <w:t>标的提供的地点</w:t>
            </w:r>
          </w:p>
        </w:tc>
        <w:tc>
          <w:tcPr>
            <w:tcW w:w="6426" w:type="dxa"/>
          </w:tcPr>
          <w:p w14:paraId="75B7226F">
            <w:pPr>
              <w:pStyle w:val="29"/>
            </w:pPr>
            <w:r>
              <w:t>指定地点，按采购人要求</w:t>
            </w:r>
          </w:p>
        </w:tc>
      </w:tr>
      <w:tr w14:paraId="09FB2B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80" w:type="dxa"/>
          </w:tcPr>
          <w:p w14:paraId="2EA3B018">
            <w:pPr>
              <w:pStyle w:val="29"/>
            </w:pPr>
            <w:r>
              <w:t>付款方式</w:t>
            </w:r>
          </w:p>
        </w:tc>
        <w:tc>
          <w:tcPr>
            <w:tcW w:w="6426" w:type="dxa"/>
          </w:tcPr>
          <w:p w14:paraId="4234E08E">
            <w:pPr>
              <w:pStyle w:val="29"/>
            </w:pPr>
            <w:r>
              <w:t>1期：支付比例</w:t>
            </w:r>
            <w:r>
              <w:rPr>
                <w:rFonts w:hint="eastAsia"/>
                <w:lang w:val="en-US" w:eastAsia="zh-CN"/>
              </w:rPr>
              <w:t>4</w:t>
            </w:r>
            <w:r>
              <w:t>0%,合同签订后，中标人提供中标通知书、合同书、中标人开具的正规足额发票，采购人在</w:t>
            </w:r>
            <w:r>
              <w:rPr>
                <w:rFonts w:hint="eastAsia"/>
                <w:lang w:val="en-US" w:eastAsia="zh-CN"/>
              </w:rPr>
              <w:t>10</w:t>
            </w:r>
            <w:r>
              <w:t>个工作日内预付合同金额</w:t>
            </w:r>
            <w:r>
              <w:rPr>
                <w:rFonts w:hint="eastAsia"/>
                <w:lang w:val="en-US" w:eastAsia="zh-CN"/>
              </w:rPr>
              <w:t>4</w:t>
            </w:r>
            <w:r>
              <w:t>0%。</w:t>
            </w:r>
          </w:p>
          <w:p w14:paraId="6A0B270A">
            <w:pPr>
              <w:pStyle w:val="29"/>
            </w:pPr>
            <w:r>
              <w:t>2期：支付比例</w:t>
            </w:r>
            <w:r>
              <w:rPr>
                <w:rFonts w:hint="eastAsia"/>
                <w:lang w:val="en-US" w:eastAsia="zh-CN"/>
              </w:rPr>
              <w:t>6</w:t>
            </w:r>
            <w:r>
              <w:t>0%,（1）合同生效后，按采购人通知供货、调试并验收。设备到货、安装、调试完毕，双方对设备数量、性能验收，验收合格后，双方在验收报告上签字盖章，中标人提供中标通知书、合同书、中标人开具的正规足额发票、验收报告。具体支付比例根据上级财政部门专项补助下达情况，双方再行协商支付额度为准。 （2）每次按合同支付款项前，中标人应向采购人提供与支付金额相符的有效发票，且收款方、出具发票方、合同乙方均必须与中标人名称一致； （3）违约责任：采购人逾期支付合同款项的，除应当支付合同款项外，还应当每日按合同总价的3‰向中标人偿付违约金，但因中标人自身原因导致无法及时支付的除外。 （4）付款方式：采用支票、银行汇票、电汇三种形式。</w:t>
            </w:r>
          </w:p>
          <w:p w14:paraId="0AA42958">
            <w:pPr>
              <w:pStyle w:val="29"/>
            </w:pPr>
            <w:r>
              <w:t>如项目发生合同融资，采购人应当将合同款项支付到合同约定收款账户。</w:t>
            </w:r>
          </w:p>
        </w:tc>
      </w:tr>
      <w:tr w14:paraId="7616EB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80" w:type="dxa"/>
          </w:tcPr>
          <w:p w14:paraId="7CB7F171">
            <w:pPr>
              <w:pStyle w:val="29"/>
            </w:pPr>
            <w:r>
              <w:t>验收要求</w:t>
            </w:r>
          </w:p>
        </w:tc>
        <w:tc>
          <w:tcPr>
            <w:tcW w:w="6426" w:type="dxa"/>
          </w:tcPr>
          <w:p w14:paraId="5407BA5E">
            <w:pPr>
              <w:pStyle w:val="29"/>
            </w:pPr>
            <w:r>
              <w:t>1期：1.采购人收到中标人项目验收建议之日起7日内按照合同的约定对履约情况进行验收，对每一项技术、服务、安全标准的履约情况进行确认。 2.产品（设备）若有国家标准按照国家标准验收，若无国家标准按行业标准验收，为原制造商制造的全新产品，整机无污染，无侵害第三方权利、表面无划损、无任何缺陷隐患，在中国境内可依常规安全合法使用。 3.货物为原厂商未启封全新包装，具出厂合格证，序列号、包装箱号与出厂批号一致，并可追索查阅。所有随设备的附件必须齐全。 4.采购人组成验收小组按国家有关规定、规范进行验收，必要时邀请相关的专业人员或机构参与验收。因产品质量问题发生争议时，由本地市场监督管理部门鉴定。产品符合质量技术标准的，鉴定费由采购人承担；否则鉴定费由中标人承担。 5.中标人应在项目验收前将系统的全部有关产品说明书、原厂家安装及使用手册、技术文件、资料、及安装、调试、验收报告等文档汇集成册交付采购人。 6.验收不能通过的，中标人应负责及时整改。若整改后，产品仍未能达标的，采购人有权依本合同约定和法律规定追究其经济及法律责任。 7.中标人保证合同项下提供的产品不侵犯任何第三方的专利、商标或版权。否则，中标人须承担对第三方的专利、商标或版权的侵权责任并承担因此而发生的所有费用。如采购人因此承担相关责任，有权向中标人追偿。</w:t>
            </w:r>
          </w:p>
        </w:tc>
      </w:tr>
      <w:tr w14:paraId="761F3B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80" w:type="dxa"/>
          </w:tcPr>
          <w:p w14:paraId="433600C3">
            <w:pPr>
              <w:pStyle w:val="29"/>
            </w:pPr>
            <w:r>
              <w:t>履约保证金</w:t>
            </w:r>
          </w:p>
        </w:tc>
        <w:tc>
          <w:tcPr>
            <w:tcW w:w="6426" w:type="dxa"/>
          </w:tcPr>
          <w:p w14:paraId="359E812B">
            <w:pPr>
              <w:pStyle w:val="29"/>
            </w:pPr>
            <w:r>
              <w:t>不收取</w:t>
            </w:r>
          </w:p>
        </w:tc>
      </w:tr>
      <w:tr w14:paraId="26DB92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80" w:type="dxa"/>
          </w:tcPr>
          <w:p w14:paraId="54EA30F4">
            <w:pPr>
              <w:pStyle w:val="29"/>
            </w:pPr>
            <w:r>
              <w:t>其他</w:t>
            </w:r>
          </w:p>
        </w:tc>
        <w:tc>
          <w:tcPr>
            <w:tcW w:w="6426" w:type="dxa"/>
          </w:tcPr>
          <w:p w14:paraId="31A5A97C">
            <w:pPr>
              <w:pStyle w:val="29"/>
              <w:rPr>
                <w:color w:val="auto"/>
                <w:highlight w:val="none"/>
              </w:rPr>
            </w:pPr>
            <w:r>
              <w:rPr>
                <w:color w:val="auto"/>
                <w:highlight w:val="none"/>
              </w:rPr>
              <w:t>其他商务要求：相关费用已包含在投标报价中（除注明有偿外），采购人不会再另行支付， （一）交付验收标准依次序对照适用标准 1.符合中华人民共和国国家安全质量标准、环保标准或行业标准； 2.符合招标文件和响应承诺中采购人认可的合理最佳配置、参数及各项要求； （二）质保期 1.保修期 （1）本合同约定产品的质量保证期（简称“质保期”）为不少于1年（自采购人验收合格之日起算），质保期内中标人提供对设备的维修保养及更换配件服务，期满后可同时提供终身 (有偿) 维修保养服务。 （2）质保期内，如产品或零部件因非人为因素出现故障而造成短期停用的，则质保期和维修期相应顺延。如停用时间累计超过60天的,则质保期自设备最近一次经维修恢复使用之日起重新计算。 （3）对采购人的服务通知，中标人在接报后30分钟内响应，4小时内到达现场，24小时内处理完毕。若在72小时内仍未能有效解决，中标人须提供同个档次的产品予采购人临时使用，如中标人更换服务人员和电话，需提前五个工作日书面告知采购人。 （4）质保期内，非采购人的人为原因而出现产品质量及安装问题，由中标人负责包修、包换或包退，并承担因此而产生的一切费用。 （5）质保服务方式为中标人上门服务，即由中标人派员到货物使用现场维修，由此产生的一切费用均由中标人承担。 （6）在质保期内，中标人须对所提供的产品做定期检查和保养。 （7）在质保期结束前，须由中标人专业工程师和采购人代表对产品进行一次全面检查，任何缺陷必须由中标人负责修理、并得到采购人代表认可。 （8）中标人接到采购人通知对设备进行修理完成之后，中标人应将缺陷原因、修理内容、完成修理及恢复正常的时间和日期等报告给采购人，报告一式两份。 （9）质保期满后，中标人承诺以优惠的价格继续为采购人提供服务，按采购人确认的维修收费标准继续提供产品使用运行的技术支持，包括故障排除及零备件的供应。 2. 安装与调试 （1）中标人必须依照招标文件的要求和报价文件的承诺，将货物系统安装并调试至正常运行的最佳状态，所产生的费用由中标人承担。 （2）中标人为采购人提供培训服务，并指派专人，如中标人更换服务人员和电话，需提前五个工作日书面告知采购人，负责与采购人联系售后服务事宜。主要培训内容为产品的基本结构、主要部件的构造及处理、日常使用操作、保养与管理、常见故障的排除、紧急情况的处理等，如采购人未使用过同类型产品，中标人还需就产品的功能对采购人进行相应的技术培训，培训地点主要在产品安装现场或由采购人安排。 （3）中标人安排安装、调试及培训人员的安全措施及费用均由中标人负责，杜绝任何安全事故发生，若因此产生赔偿责任由中标人承担。 3.培训要求 (1)在设备安装和调试完成后，中标人应提供培训服务，提供专业技术人员对采购人使用设备人员和相关管理人员进行一周培训，并保证两名以上操作人员熟练掌握操作技术为止。 (2)中标人需制定详细的培训内容和培训计划。 (三)包装和运输 1.中标人应提供运至交付地点所需要的包装，包装应符合经济、牢固、美观的要求，采取防潮、防晒、防锈、防振及防止其它损坏的必要措施，以防止货物在运转中损坏或变质。 2.包装必须要符合相关法律、法规的要求，包括与环境、职业健康和安全有关的法律、法规标准。 3.运输包装应根据产品的特点及国家相关标准标注有相应的运输标志。 4.中标人负责将货物运输并卸载到采购人指定地点。 (四)设备要求 1.货物为原制造商制造的全新产品，与中标人提供的产品功能介绍及采购人招标需求相符，整机无污染，无侵权行为、表面无划损、无任何缺陷隐患，不存在侵犯第三方权利，在中国境内可依常规安全合法使用。 2.货物为原厂商未启封全新包装，具出厂合格证，序列号、包装箱号与出厂批号一致，并可追索查阅。 3.中标人应将关键主机设备的用户手册、原厂保修卡、保修手册、有关单证资料及配备件、随机工具等交付给采购人，使用操作及安全须知等重要资料应附有中文说明。</w:t>
            </w:r>
          </w:p>
          <w:p w14:paraId="1377E36B">
            <w:pPr>
              <w:pStyle w:val="29"/>
              <w:rPr>
                <w:rFonts w:hint="eastAsia" w:eastAsiaTheme="minorEastAsia"/>
                <w:color w:val="auto"/>
                <w:highlight w:val="none"/>
                <w:lang w:eastAsia="zh-CN"/>
              </w:rPr>
            </w:pPr>
            <w:r>
              <w:rPr>
                <w:b/>
                <w:bCs/>
                <w:color w:val="auto"/>
                <w:highlight w:val="none"/>
              </w:rPr>
              <w:t>★</w:t>
            </w:r>
            <w:r>
              <w:rPr>
                <w:rFonts w:hint="eastAsia"/>
                <w:b/>
                <w:bCs/>
                <w:color w:val="auto"/>
                <w:highlight w:val="none"/>
                <w:lang w:eastAsia="zh-CN"/>
              </w:rPr>
              <w:t>（</w:t>
            </w:r>
            <w:r>
              <w:rPr>
                <w:rFonts w:hint="eastAsia"/>
                <w:b/>
                <w:bCs/>
                <w:color w:val="auto"/>
                <w:highlight w:val="none"/>
                <w:lang w:val="en-US" w:eastAsia="zh-CN"/>
              </w:rPr>
              <w:t>五</w:t>
            </w:r>
            <w:r>
              <w:rPr>
                <w:rFonts w:hint="eastAsia"/>
                <w:b/>
                <w:bCs/>
                <w:color w:val="auto"/>
                <w:highlight w:val="none"/>
                <w:lang w:eastAsia="zh-CN"/>
              </w:rPr>
              <w:t>）</w:t>
            </w:r>
            <w:r>
              <w:rPr>
                <w:rFonts w:hint="eastAsia"/>
                <w:b/>
                <w:bCs/>
                <w:color w:val="auto"/>
                <w:highlight w:val="none"/>
                <w:lang w:val="en-US" w:eastAsia="zh-CN"/>
              </w:rPr>
              <w:t>本项目为总价包干，供应商报价须为含税价，包含报价供应商为履行运输、安装、调试、日常检修、撤场等义务所需的所有费用，包括但不限于运输费、辅件、配件等材料费、人工费、调试费等，除此之外采购人无须向中标人支付其他任何费用。</w:t>
            </w:r>
          </w:p>
        </w:tc>
      </w:tr>
    </w:tbl>
    <w:p w14:paraId="5FD89833">
      <w:pPr>
        <w:pStyle w:val="29"/>
      </w:pPr>
      <w:r>
        <w:t>其他商务需求</w:t>
      </w:r>
    </w:p>
    <w:p w14:paraId="7DB064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015205"/>
    <w:multiLevelType w:val="multilevel"/>
    <w:tmpl w:val="29015205"/>
    <w:lvl w:ilvl="0" w:tentative="0">
      <w:start w:val="1"/>
      <w:numFmt w:val="decimal"/>
      <w:pStyle w:val="2"/>
      <w:lvlText w:val="%1"/>
      <w:lvlJc w:val="left"/>
      <w:pPr>
        <w:ind w:left="432" w:hanging="432"/>
      </w:pPr>
      <w:rPr>
        <w:rFonts w:hint="eastAsia"/>
      </w:rPr>
    </w:lvl>
    <w:lvl w:ilvl="1" w:tentative="0">
      <w:start w:val="1"/>
      <w:numFmt w:val="decimal"/>
      <w:lvlText w:val="4.%2"/>
      <w:lvlJc w:val="left"/>
      <w:pPr>
        <w:ind w:left="576" w:hanging="576"/>
      </w:pPr>
      <w:rPr>
        <w:rFonts w:hint="eastAsia"/>
      </w:rPr>
    </w:lvl>
    <w:lvl w:ilvl="2" w:tentative="0">
      <w:start w:val="1"/>
      <w:numFmt w:val="decimal"/>
      <w:lvlText w:val="6.2.%3"/>
      <w:lvlJc w:val="left"/>
      <w:pPr>
        <w:ind w:left="720" w:hanging="720"/>
      </w:pPr>
      <w:rPr>
        <w:rFonts w:hint="eastAsia"/>
      </w:rPr>
    </w:lvl>
    <w:lvl w:ilvl="3" w:tentative="0">
      <w:start w:val="1"/>
      <w:numFmt w:val="decimal"/>
      <w:pStyle w:val="5"/>
      <w:lvlText w:val="5.1.1.%4"/>
      <w:lvlJc w:val="left"/>
      <w:pPr>
        <w:ind w:left="864" w:hanging="864"/>
      </w:pPr>
      <w:rPr>
        <w:rFonts w:hint="eastAsia"/>
      </w:rPr>
    </w:lvl>
    <w:lvl w:ilvl="4" w:tentative="0">
      <w:start w:val="1"/>
      <w:numFmt w:val="decimal"/>
      <w:pStyle w:val="6"/>
      <w:lvlText w:val="5.1.1.1.%5"/>
      <w:lvlJc w:val="left"/>
      <w:pPr>
        <w:ind w:left="2142"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abstractNum w:abstractNumId="1">
    <w:nsid w:val="3EBB3C91"/>
    <w:multiLevelType w:val="multilevel"/>
    <w:tmpl w:val="3EBB3C91"/>
    <w:lvl w:ilvl="0" w:tentative="0">
      <w:start w:val="1"/>
      <w:numFmt w:val="decimal"/>
      <w:pStyle w:val="63"/>
      <w:lvlText w:val="%1. "/>
      <w:lvlJc w:val="left"/>
      <w:pPr>
        <w:ind w:left="420" w:hanging="420"/>
      </w:pPr>
      <w:rPr>
        <w:rFonts w:hint="default" w:ascii="Times New Roman" w:hAnsi="Times New Roman" w:eastAsia="宋体"/>
        <w:b/>
        <w:i w:val="0"/>
      </w:rPr>
    </w:lvl>
    <w:lvl w:ilvl="1" w:tentative="0">
      <w:start w:val="1"/>
      <w:numFmt w:val="decimal"/>
      <w:pStyle w:val="56"/>
      <w:isLgl/>
      <w:suff w:val="space"/>
      <w:lvlText w:val="%1.%2 "/>
      <w:lvlJc w:val="left"/>
      <w:pPr>
        <w:ind w:left="3913" w:hanging="794"/>
      </w:pPr>
      <w:rPr>
        <w:rFonts w:hint="eastAsia"/>
      </w:rPr>
    </w:lvl>
    <w:lvl w:ilvl="2" w:tentative="0">
      <w:start w:val="1"/>
      <w:numFmt w:val="decimal"/>
      <w:pStyle w:val="62"/>
      <w:isLgl/>
      <w:suff w:val="space"/>
      <w:lvlText w:val="%1.%2.%3 "/>
      <w:lvlJc w:val="left"/>
      <w:pPr>
        <w:ind w:left="907" w:hanging="907"/>
      </w:pPr>
      <w:rPr>
        <w:rFonts w:hint="eastAsia"/>
      </w:rPr>
    </w:lvl>
    <w:lvl w:ilvl="3" w:tentative="0">
      <w:start w:val="1"/>
      <w:numFmt w:val="decimal"/>
      <w:pStyle w:val="61"/>
      <w:isLgl/>
      <w:suff w:val="space"/>
      <w:lvlText w:val="%1.%2.%3.%4 "/>
      <w:lvlJc w:val="left"/>
      <w:pPr>
        <w:ind w:left="1021" w:hanging="1021"/>
      </w:pPr>
      <w:rPr>
        <w:rFonts w:hint="eastAsia"/>
      </w:rPr>
    </w:lvl>
    <w:lvl w:ilvl="4" w:tentative="0">
      <w:start w:val="1"/>
      <w:numFmt w:val="decimal"/>
      <w:pStyle w:val="66"/>
      <w:isLgl/>
      <w:suff w:val="space"/>
      <w:lvlText w:val="%1.%2.%3.%4.%5 "/>
      <w:lvlJc w:val="left"/>
      <w:pPr>
        <w:ind w:left="1134" w:hanging="1134"/>
      </w:pPr>
      <w:rPr>
        <w:rFonts w:hint="eastAsia"/>
      </w:rPr>
    </w:lvl>
    <w:lvl w:ilvl="5" w:tentative="0">
      <w:start w:val="1"/>
      <w:numFmt w:val="decimal"/>
      <w:pStyle w:val="60"/>
      <w:isLgl/>
      <w:suff w:val="space"/>
      <w:lvlText w:val="%1.%2.%3.%4.%5.%6 "/>
      <w:lvlJc w:val="left"/>
      <w:pPr>
        <w:ind w:left="1247" w:hanging="1247"/>
      </w:pPr>
      <w:rPr>
        <w:rFonts w:hint="eastAsia"/>
      </w:rPr>
    </w:lvl>
    <w:lvl w:ilvl="6" w:tentative="0">
      <w:start w:val="1"/>
      <w:numFmt w:val="decimal"/>
      <w:lvlRestart w:val="1"/>
      <w:pStyle w:val="55"/>
      <w:isLgl/>
      <w:suff w:val="space"/>
      <w:lvlText w:val="图 %1.%7 "/>
      <w:lvlJc w:val="left"/>
      <w:pPr>
        <w:ind w:left="0" w:firstLine="0"/>
      </w:pPr>
      <w:rPr>
        <w:rFonts w:hint="eastAsia"/>
      </w:rPr>
    </w:lvl>
    <w:lvl w:ilvl="7" w:tentative="0">
      <w:start w:val="1"/>
      <w:numFmt w:val="decimal"/>
      <w:lvlRestart w:val="1"/>
      <w:pStyle w:val="65"/>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95875"/>
    <w:rsid w:val="00001118"/>
    <w:rsid w:val="000202A7"/>
    <w:rsid w:val="000919A4"/>
    <w:rsid w:val="000E3D00"/>
    <w:rsid w:val="00105F49"/>
    <w:rsid w:val="0010716A"/>
    <w:rsid w:val="001154C8"/>
    <w:rsid w:val="00126D85"/>
    <w:rsid w:val="001354FA"/>
    <w:rsid w:val="001501B9"/>
    <w:rsid w:val="0015794C"/>
    <w:rsid w:val="00176893"/>
    <w:rsid w:val="001C4836"/>
    <w:rsid w:val="001E3A83"/>
    <w:rsid w:val="0022373B"/>
    <w:rsid w:val="002269B7"/>
    <w:rsid w:val="00254B5B"/>
    <w:rsid w:val="00295875"/>
    <w:rsid w:val="002A6C4E"/>
    <w:rsid w:val="002B4D86"/>
    <w:rsid w:val="002C0F63"/>
    <w:rsid w:val="002D084F"/>
    <w:rsid w:val="002F2A75"/>
    <w:rsid w:val="00381035"/>
    <w:rsid w:val="004077A4"/>
    <w:rsid w:val="004B548B"/>
    <w:rsid w:val="004D4BD0"/>
    <w:rsid w:val="00535160"/>
    <w:rsid w:val="00576130"/>
    <w:rsid w:val="0058707A"/>
    <w:rsid w:val="005908E8"/>
    <w:rsid w:val="005E4498"/>
    <w:rsid w:val="00611D79"/>
    <w:rsid w:val="00646DF2"/>
    <w:rsid w:val="00654532"/>
    <w:rsid w:val="00682599"/>
    <w:rsid w:val="006C3FB8"/>
    <w:rsid w:val="00704B3E"/>
    <w:rsid w:val="007F6ACD"/>
    <w:rsid w:val="00820A65"/>
    <w:rsid w:val="00863287"/>
    <w:rsid w:val="00865CB9"/>
    <w:rsid w:val="00890A35"/>
    <w:rsid w:val="00893584"/>
    <w:rsid w:val="00926524"/>
    <w:rsid w:val="00937014"/>
    <w:rsid w:val="009579EA"/>
    <w:rsid w:val="00A93CD6"/>
    <w:rsid w:val="00AB4F9C"/>
    <w:rsid w:val="00AF260A"/>
    <w:rsid w:val="00B452D5"/>
    <w:rsid w:val="00B633E0"/>
    <w:rsid w:val="00B96CE0"/>
    <w:rsid w:val="00BA01F5"/>
    <w:rsid w:val="00BE6076"/>
    <w:rsid w:val="00C128C6"/>
    <w:rsid w:val="00C34282"/>
    <w:rsid w:val="00C70EAE"/>
    <w:rsid w:val="00CB5BEF"/>
    <w:rsid w:val="00D152D0"/>
    <w:rsid w:val="00D315B4"/>
    <w:rsid w:val="00D4518E"/>
    <w:rsid w:val="00D81B9E"/>
    <w:rsid w:val="00DD3F37"/>
    <w:rsid w:val="00DF4082"/>
    <w:rsid w:val="00E51D48"/>
    <w:rsid w:val="00EB4608"/>
    <w:rsid w:val="00F722C4"/>
    <w:rsid w:val="00F86E72"/>
    <w:rsid w:val="00FE122F"/>
    <w:rsid w:val="0C08220A"/>
    <w:rsid w:val="10617F5F"/>
    <w:rsid w:val="2A5A5B79"/>
    <w:rsid w:val="43BD00D7"/>
    <w:rsid w:val="45910704"/>
    <w:rsid w:val="50640DD9"/>
    <w:rsid w:val="69470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numPr>
        <w:ilvl w:val="0"/>
        <w:numId w:val="1"/>
      </w:numPr>
      <w:spacing w:before="340" w:after="330" w:line="578" w:lineRule="auto"/>
      <w:outlineLvl w:val="0"/>
    </w:pPr>
    <w:rPr>
      <w:rFonts w:ascii="Times New Roman" w:hAnsi="Times New Roman" w:eastAsia="宋体" w:cs="Times New Roman"/>
      <w:b/>
      <w:bCs/>
      <w:kern w:val="44"/>
      <w:sz w:val="44"/>
      <w:szCs w:val="44"/>
      <w:lang w:val="zh-CN"/>
    </w:rPr>
  </w:style>
  <w:style w:type="paragraph" w:styleId="3">
    <w:name w:val="heading 2"/>
    <w:basedOn w:val="1"/>
    <w:next w:val="1"/>
    <w:link w:val="32"/>
    <w:qFormat/>
    <w:uiPriority w:val="0"/>
    <w:pPr>
      <w:keepNext/>
      <w:keepLines/>
      <w:spacing w:before="260" w:after="260" w:line="416" w:lineRule="auto"/>
      <w:outlineLvl w:val="1"/>
    </w:pPr>
    <w:rPr>
      <w:rFonts w:ascii="等线 Light" w:hAnsi="等线 Light" w:eastAsia="等线 Light" w:cs="Times New Roman"/>
      <w:b/>
      <w:bCs/>
      <w:sz w:val="32"/>
      <w:szCs w:val="32"/>
      <w:lang w:val="zh-CN"/>
    </w:rPr>
  </w:style>
  <w:style w:type="paragraph" w:styleId="4">
    <w:name w:val="heading 3"/>
    <w:basedOn w:val="1"/>
    <w:next w:val="1"/>
    <w:link w:val="33"/>
    <w:qFormat/>
    <w:uiPriority w:val="0"/>
    <w:pPr>
      <w:keepNext/>
      <w:keepLines/>
      <w:spacing w:before="260" w:after="260" w:line="416" w:lineRule="auto"/>
      <w:outlineLvl w:val="2"/>
    </w:pPr>
    <w:rPr>
      <w:rFonts w:ascii="Times New Roman" w:hAnsi="Times New Roman" w:eastAsia="宋体" w:cs="Times New Roman"/>
      <w:b/>
      <w:bCs/>
      <w:sz w:val="30"/>
      <w:szCs w:val="30"/>
      <w:lang w:val="zh-CN"/>
    </w:rPr>
  </w:style>
  <w:style w:type="paragraph" w:styleId="5">
    <w:name w:val="heading 4"/>
    <w:basedOn w:val="1"/>
    <w:next w:val="1"/>
    <w:link w:val="34"/>
    <w:qFormat/>
    <w:uiPriority w:val="0"/>
    <w:pPr>
      <w:keepNext/>
      <w:keepLines/>
      <w:numPr>
        <w:ilvl w:val="3"/>
        <w:numId w:val="1"/>
      </w:numPr>
      <w:spacing w:before="280" w:after="290" w:line="376" w:lineRule="auto"/>
      <w:outlineLvl w:val="3"/>
    </w:pPr>
    <w:rPr>
      <w:rFonts w:ascii="宋体" w:hAnsi="宋体" w:eastAsia="宋体" w:cs="Times New Roman"/>
      <w:b/>
      <w:bCs/>
      <w:sz w:val="28"/>
      <w:szCs w:val="28"/>
      <w:lang w:val="zh-CN"/>
    </w:rPr>
  </w:style>
  <w:style w:type="paragraph" w:styleId="6">
    <w:name w:val="heading 5"/>
    <w:basedOn w:val="1"/>
    <w:next w:val="1"/>
    <w:link w:val="35"/>
    <w:qFormat/>
    <w:uiPriority w:val="0"/>
    <w:pPr>
      <w:keepNext/>
      <w:keepLines/>
      <w:numPr>
        <w:ilvl w:val="4"/>
        <w:numId w:val="1"/>
      </w:numPr>
      <w:spacing w:before="280" w:after="290" w:line="376" w:lineRule="auto"/>
      <w:outlineLvl w:val="4"/>
    </w:pPr>
    <w:rPr>
      <w:rFonts w:ascii="Times New Roman" w:hAnsi="Times New Roman" w:eastAsia="宋体" w:cs="Times New Roman"/>
      <w:b/>
      <w:bCs/>
      <w:sz w:val="28"/>
      <w:szCs w:val="28"/>
      <w:lang w:val="zh-CN"/>
    </w:rPr>
  </w:style>
  <w:style w:type="paragraph" w:styleId="7">
    <w:name w:val="heading 6"/>
    <w:basedOn w:val="1"/>
    <w:next w:val="1"/>
    <w:link w:val="36"/>
    <w:qFormat/>
    <w:uiPriority w:val="0"/>
    <w:pPr>
      <w:keepNext/>
      <w:keepLines/>
      <w:numPr>
        <w:ilvl w:val="5"/>
        <w:numId w:val="1"/>
      </w:numPr>
      <w:spacing w:before="240" w:after="64" w:line="320" w:lineRule="auto"/>
      <w:outlineLvl w:val="5"/>
    </w:pPr>
    <w:rPr>
      <w:rFonts w:ascii="等线 Light" w:hAnsi="等线 Light" w:eastAsia="等线 Light" w:cs="Times New Roman"/>
      <w:b/>
      <w:bCs/>
      <w:sz w:val="24"/>
      <w:lang w:val="zh-CN"/>
    </w:rPr>
  </w:style>
  <w:style w:type="paragraph" w:styleId="8">
    <w:name w:val="heading 7"/>
    <w:basedOn w:val="1"/>
    <w:next w:val="1"/>
    <w:link w:val="37"/>
    <w:qFormat/>
    <w:uiPriority w:val="0"/>
    <w:pPr>
      <w:keepNext/>
      <w:keepLines/>
      <w:numPr>
        <w:ilvl w:val="6"/>
        <w:numId w:val="1"/>
      </w:numPr>
      <w:spacing w:before="240" w:after="64" w:line="320" w:lineRule="auto"/>
      <w:outlineLvl w:val="6"/>
    </w:pPr>
    <w:rPr>
      <w:rFonts w:ascii="Times New Roman" w:hAnsi="Times New Roman" w:eastAsia="宋体" w:cs="Times New Roman"/>
      <w:b/>
      <w:bCs/>
      <w:sz w:val="24"/>
      <w:lang w:val="zh-CN"/>
    </w:rPr>
  </w:style>
  <w:style w:type="paragraph" w:styleId="9">
    <w:name w:val="heading 8"/>
    <w:basedOn w:val="1"/>
    <w:next w:val="1"/>
    <w:link w:val="38"/>
    <w:qFormat/>
    <w:uiPriority w:val="0"/>
    <w:pPr>
      <w:keepNext/>
      <w:keepLines/>
      <w:numPr>
        <w:ilvl w:val="7"/>
        <w:numId w:val="1"/>
      </w:numPr>
      <w:spacing w:before="240" w:after="64" w:line="320" w:lineRule="auto"/>
      <w:outlineLvl w:val="7"/>
    </w:pPr>
    <w:rPr>
      <w:rFonts w:ascii="等线 Light" w:hAnsi="等线 Light" w:eastAsia="等线 Light" w:cs="Times New Roman"/>
      <w:sz w:val="24"/>
      <w:lang w:val="zh-CN"/>
    </w:rPr>
  </w:style>
  <w:style w:type="paragraph" w:styleId="10">
    <w:name w:val="heading 9"/>
    <w:basedOn w:val="1"/>
    <w:next w:val="1"/>
    <w:link w:val="39"/>
    <w:qFormat/>
    <w:uiPriority w:val="0"/>
    <w:pPr>
      <w:keepNext/>
      <w:keepLines/>
      <w:numPr>
        <w:ilvl w:val="8"/>
        <w:numId w:val="1"/>
      </w:numPr>
      <w:spacing w:before="240" w:after="64" w:line="320" w:lineRule="auto"/>
      <w:outlineLvl w:val="8"/>
    </w:pPr>
    <w:rPr>
      <w:rFonts w:ascii="等线 Light" w:hAnsi="等线 Light" w:eastAsia="等线 Light" w:cs="Times New Roman"/>
      <w:szCs w:val="21"/>
      <w:lang w:val="zh-CN"/>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40"/>
    <w:qFormat/>
    <w:uiPriority w:val="99"/>
    <w:pPr>
      <w:spacing w:beforeLines="50" w:line="360" w:lineRule="auto"/>
      <w:ind w:firstLine="512" w:firstLineChars="200"/>
    </w:pPr>
    <w:rPr>
      <w:rFonts w:ascii="Times New Roman" w:hAnsi="Times New Roman" w:eastAsia="宋体" w:cs="Times New Roman"/>
      <w:spacing w:val="8"/>
      <w:sz w:val="24"/>
      <w:szCs w:val="20"/>
    </w:rPr>
  </w:style>
  <w:style w:type="paragraph" w:styleId="12">
    <w:name w:val="annotation text"/>
    <w:basedOn w:val="1"/>
    <w:link w:val="41"/>
    <w:unhideWhenUsed/>
    <w:qFormat/>
    <w:uiPriority w:val="0"/>
    <w:pPr>
      <w:jc w:val="left"/>
    </w:pPr>
    <w:rPr>
      <w:rFonts w:ascii="Times New Roman" w:hAnsi="Times New Roman" w:eastAsia="宋体" w:cs="Times New Roman"/>
      <w:kern w:val="0"/>
      <w:sz w:val="20"/>
      <w:lang w:val="zh-CN"/>
    </w:rPr>
  </w:style>
  <w:style w:type="paragraph" w:styleId="13">
    <w:name w:val="Body Text"/>
    <w:basedOn w:val="1"/>
    <w:qFormat/>
    <w:uiPriority w:val="0"/>
    <w:pPr>
      <w:spacing w:line="360" w:lineRule="auto"/>
    </w:pPr>
    <w:rPr>
      <w:rFonts w:ascii="Calibri" w:hAnsi="Calibri"/>
      <w:szCs w:val="20"/>
    </w:rPr>
  </w:style>
  <w:style w:type="paragraph" w:styleId="14">
    <w:name w:val="Body Text Indent"/>
    <w:basedOn w:val="1"/>
    <w:link w:val="74"/>
    <w:qFormat/>
    <w:uiPriority w:val="0"/>
    <w:pPr>
      <w:spacing w:after="120"/>
      <w:ind w:left="420" w:leftChars="200"/>
    </w:pPr>
    <w:rPr>
      <w:rFonts w:ascii="Times New Roman" w:hAnsi="Times New Roman" w:eastAsia="宋体" w:cs="Times New Roman"/>
    </w:rPr>
  </w:style>
  <w:style w:type="paragraph" w:styleId="15">
    <w:name w:val="Plain Text"/>
    <w:basedOn w:val="1"/>
    <w:link w:val="42"/>
    <w:qFormat/>
    <w:uiPriority w:val="0"/>
    <w:rPr>
      <w:rFonts w:ascii="Calibri" w:hAnsi="Courier New" w:eastAsia="宋体" w:cs="Times New Roman"/>
      <w:szCs w:val="20"/>
      <w:lang w:val="zh-CN"/>
    </w:rPr>
  </w:style>
  <w:style w:type="paragraph" w:styleId="16">
    <w:name w:val="Balloon Text"/>
    <w:basedOn w:val="1"/>
    <w:link w:val="30"/>
    <w:unhideWhenUsed/>
    <w:qFormat/>
    <w:uiPriority w:val="0"/>
    <w:rPr>
      <w:sz w:val="18"/>
      <w:szCs w:val="18"/>
    </w:rPr>
  </w:style>
  <w:style w:type="paragraph" w:styleId="17">
    <w:name w:val="footer"/>
    <w:basedOn w:val="1"/>
    <w:link w:val="43"/>
    <w:qFormat/>
    <w:uiPriority w:val="0"/>
    <w:pPr>
      <w:tabs>
        <w:tab w:val="center" w:pos="4153"/>
        <w:tab w:val="right" w:pos="8306"/>
      </w:tabs>
      <w:snapToGrid w:val="0"/>
      <w:jc w:val="left"/>
    </w:pPr>
    <w:rPr>
      <w:rFonts w:ascii="Times New Roman" w:hAnsi="Times New Roman" w:eastAsia="宋体" w:cs="Times New Roman"/>
      <w:sz w:val="18"/>
      <w:szCs w:val="18"/>
      <w:lang w:val="zh-CN"/>
    </w:rPr>
  </w:style>
  <w:style w:type="paragraph" w:styleId="18">
    <w:name w:val="header"/>
    <w:basedOn w:val="1"/>
    <w:link w:val="44"/>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lang w:val="zh-CN"/>
    </w:rPr>
  </w:style>
  <w:style w:type="paragraph" w:styleId="19">
    <w:name w:val="Body Text 2"/>
    <w:basedOn w:val="1"/>
    <w:qFormat/>
    <w:uiPriority w:val="99"/>
    <w:pPr>
      <w:spacing w:after="120" w:line="480" w:lineRule="auto"/>
    </w:pPr>
  </w:style>
  <w:style w:type="paragraph" w:styleId="2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21">
    <w:name w:val="annotation subject"/>
    <w:basedOn w:val="12"/>
    <w:next w:val="12"/>
    <w:link w:val="78"/>
    <w:qFormat/>
    <w:uiPriority w:val="0"/>
    <w:rPr>
      <w:b/>
      <w:bCs/>
      <w:kern w:val="2"/>
      <w:sz w:val="21"/>
      <w:lang w:val="en-US"/>
    </w:rPr>
  </w:style>
  <w:style w:type="paragraph" w:styleId="22">
    <w:name w:val="Body Text First Indent 2"/>
    <w:basedOn w:val="14"/>
    <w:link w:val="79"/>
    <w:semiHidden/>
    <w:unhideWhenUsed/>
    <w:qFormat/>
    <w:uiPriority w:val="99"/>
    <w:pPr>
      <w:ind w:firstLine="420" w:firstLineChars="200"/>
    </w:pPr>
    <w:rPr>
      <w:rFonts w:asciiTheme="minorHAnsi" w:hAnsiTheme="minorHAnsi" w:eastAsiaTheme="minorEastAsia" w:cstheme="minorBidi"/>
    </w:rPr>
  </w:style>
  <w:style w:type="table" w:styleId="24">
    <w:name w:val="Table Grid"/>
    <w:basedOn w:val="23"/>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6">
    <w:name w:val="FollowedHyperlink"/>
    <w:basedOn w:val="25"/>
    <w:semiHidden/>
    <w:unhideWhenUsed/>
    <w:qFormat/>
    <w:uiPriority w:val="99"/>
    <w:rPr>
      <w:color w:val="800080" w:themeColor="followedHyperlink"/>
      <w:u w:val="single"/>
    </w:rPr>
  </w:style>
  <w:style w:type="character" w:styleId="27">
    <w:name w:val="Hyperlink"/>
    <w:qFormat/>
    <w:uiPriority w:val="0"/>
    <w:rPr>
      <w:color w:val="0563C1"/>
      <w:u w:val="single"/>
    </w:rPr>
  </w:style>
  <w:style w:type="character" w:styleId="28">
    <w:name w:val="annotation reference"/>
    <w:unhideWhenUsed/>
    <w:qFormat/>
    <w:uiPriority w:val="99"/>
    <w:rPr>
      <w:sz w:val="21"/>
      <w:szCs w:val="21"/>
    </w:rPr>
  </w:style>
  <w:style w:type="paragraph" w:customStyle="1" w:styleId="29">
    <w:name w:val="null3"/>
    <w:hidden/>
    <w:qFormat/>
    <w:uiPriority w:val="0"/>
    <w:rPr>
      <w:rFonts w:hint="eastAsia" w:asciiTheme="minorHAnsi" w:hAnsiTheme="minorHAnsi" w:eastAsiaTheme="minorEastAsia" w:cstheme="minorBidi"/>
      <w:lang w:val="en-US" w:eastAsia="zh-CN" w:bidi="ar-SA"/>
    </w:rPr>
  </w:style>
  <w:style w:type="character" w:customStyle="1" w:styleId="30">
    <w:name w:val="批注框文本 Char"/>
    <w:basedOn w:val="25"/>
    <w:link w:val="16"/>
    <w:qFormat/>
    <w:uiPriority w:val="0"/>
    <w:rPr>
      <w:rFonts w:asciiTheme="minorHAnsi" w:hAnsiTheme="minorHAnsi" w:eastAsiaTheme="minorEastAsia" w:cstheme="minorBidi"/>
      <w:kern w:val="2"/>
      <w:sz w:val="18"/>
      <w:szCs w:val="18"/>
    </w:rPr>
  </w:style>
  <w:style w:type="character" w:customStyle="1" w:styleId="31">
    <w:name w:val="标题 1 Char"/>
    <w:basedOn w:val="25"/>
    <w:link w:val="2"/>
    <w:qFormat/>
    <w:uiPriority w:val="0"/>
    <w:rPr>
      <w:b/>
      <w:bCs/>
      <w:kern w:val="44"/>
      <w:sz w:val="44"/>
      <w:szCs w:val="44"/>
      <w:lang w:val="zh-CN" w:eastAsia="zh-CN"/>
    </w:rPr>
  </w:style>
  <w:style w:type="character" w:customStyle="1" w:styleId="32">
    <w:name w:val="标题 2 Char"/>
    <w:basedOn w:val="25"/>
    <w:link w:val="3"/>
    <w:qFormat/>
    <w:uiPriority w:val="0"/>
    <w:rPr>
      <w:rFonts w:ascii="等线 Light" w:hAnsi="等线 Light" w:eastAsia="等线 Light"/>
      <w:b/>
      <w:bCs/>
      <w:kern w:val="2"/>
      <w:sz w:val="32"/>
      <w:szCs w:val="32"/>
      <w:lang w:val="zh-CN" w:eastAsia="zh-CN"/>
    </w:rPr>
  </w:style>
  <w:style w:type="character" w:customStyle="1" w:styleId="33">
    <w:name w:val="标题 3 Char"/>
    <w:basedOn w:val="25"/>
    <w:link w:val="4"/>
    <w:qFormat/>
    <w:uiPriority w:val="0"/>
    <w:rPr>
      <w:b/>
      <w:bCs/>
      <w:kern w:val="2"/>
      <w:sz w:val="30"/>
      <w:szCs w:val="30"/>
      <w:lang w:val="zh-CN" w:eastAsia="zh-CN"/>
    </w:rPr>
  </w:style>
  <w:style w:type="character" w:customStyle="1" w:styleId="34">
    <w:name w:val="标题 4 Char"/>
    <w:basedOn w:val="25"/>
    <w:link w:val="5"/>
    <w:qFormat/>
    <w:uiPriority w:val="0"/>
    <w:rPr>
      <w:rFonts w:ascii="宋体" w:hAnsi="宋体"/>
      <w:b/>
      <w:bCs/>
      <w:kern w:val="2"/>
      <w:sz w:val="28"/>
      <w:szCs w:val="28"/>
      <w:lang w:val="zh-CN" w:eastAsia="zh-CN"/>
    </w:rPr>
  </w:style>
  <w:style w:type="character" w:customStyle="1" w:styleId="35">
    <w:name w:val="标题 5 Char"/>
    <w:basedOn w:val="25"/>
    <w:link w:val="6"/>
    <w:qFormat/>
    <w:uiPriority w:val="0"/>
    <w:rPr>
      <w:b/>
      <w:bCs/>
      <w:kern w:val="2"/>
      <w:sz w:val="28"/>
      <w:szCs w:val="28"/>
      <w:lang w:val="zh-CN" w:eastAsia="zh-CN"/>
    </w:rPr>
  </w:style>
  <w:style w:type="character" w:customStyle="1" w:styleId="36">
    <w:name w:val="标题 6 Char"/>
    <w:basedOn w:val="25"/>
    <w:link w:val="7"/>
    <w:qFormat/>
    <w:uiPriority w:val="0"/>
    <w:rPr>
      <w:rFonts w:ascii="等线 Light" w:hAnsi="等线 Light" w:eastAsia="等线 Light"/>
      <w:b/>
      <w:bCs/>
      <w:kern w:val="2"/>
      <w:sz w:val="24"/>
      <w:szCs w:val="24"/>
      <w:lang w:val="zh-CN" w:eastAsia="zh-CN"/>
    </w:rPr>
  </w:style>
  <w:style w:type="character" w:customStyle="1" w:styleId="37">
    <w:name w:val="标题 7 Char"/>
    <w:basedOn w:val="25"/>
    <w:link w:val="8"/>
    <w:qFormat/>
    <w:uiPriority w:val="0"/>
    <w:rPr>
      <w:b/>
      <w:bCs/>
      <w:kern w:val="2"/>
      <w:sz w:val="24"/>
      <w:szCs w:val="24"/>
      <w:lang w:val="zh-CN" w:eastAsia="zh-CN"/>
    </w:rPr>
  </w:style>
  <w:style w:type="character" w:customStyle="1" w:styleId="38">
    <w:name w:val="标题 8 Char"/>
    <w:basedOn w:val="25"/>
    <w:link w:val="9"/>
    <w:qFormat/>
    <w:uiPriority w:val="0"/>
    <w:rPr>
      <w:rFonts w:ascii="等线 Light" w:hAnsi="等线 Light" w:eastAsia="等线 Light"/>
      <w:kern w:val="2"/>
      <w:sz w:val="24"/>
      <w:szCs w:val="24"/>
      <w:lang w:val="zh-CN" w:eastAsia="zh-CN"/>
    </w:rPr>
  </w:style>
  <w:style w:type="character" w:customStyle="1" w:styleId="39">
    <w:name w:val="标题 9 Char"/>
    <w:basedOn w:val="25"/>
    <w:link w:val="10"/>
    <w:qFormat/>
    <w:uiPriority w:val="0"/>
    <w:rPr>
      <w:rFonts w:ascii="等线 Light" w:hAnsi="等线 Light" w:eastAsia="等线 Light"/>
      <w:kern w:val="2"/>
      <w:sz w:val="21"/>
      <w:szCs w:val="21"/>
      <w:lang w:val="zh-CN" w:eastAsia="zh-CN"/>
    </w:rPr>
  </w:style>
  <w:style w:type="character" w:customStyle="1" w:styleId="40">
    <w:name w:val="正文缩进 Char"/>
    <w:link w:val="11"/>
    <w:qFormat/>
    <w:uiPriority w:val="99"/>
    <w:rPr>
      <w:spacing w:val="8"/>
      <w:kern w:val="2"/>
      <w:sz w:val="24"/>
      <w:lang w:val="en-US" w:eastAsia="zh-CN"/>
    </w:rPr>
  </w:style>
  <w:style w:type="character" w:customStyle="1" w:styleId="41">
    <w:name w:val="批注文字 Char"/>
    <w:basedOn w:val="25"/>
    <w:link w:val="12"/>
    <w:qFormat/>
    <w:uiPriority w:val="0"/>
    <w:rPr>
      <w:szCs w:val="24"/>
      <w:lang w:val="zh-CN" w:eastAsia="zh-CN"/>
    </w:rPr>
  </w:style>
  <w:style w:type="character" w:customStyle="1" w:styleId="42">
    <w:name w:val="纯文本 Char"/>
    <w:basedOn w:val="25"/>
    <w:link w:val="15"/>
    <w:qFormat/>
    <w:uiPriority w:val="0"/>
    <w:rPr>
      <w:rFonts w:ascii="Calibri" w:hAnsi="Courier New"/>
      <w:kern w:val="2"/>
      <w:sz w:val="21"/>
      <w:lang w:val="zh-CN" w:eastAsia="zh-CN"/>
    </w:rPr>
  </w:style>
  <w:style w:type="character" w:customStyle="1" w:styleId="43">
    <w:name w:val="页脚 Char"/>
    <w:basedOn w:val="25"/>
    <w:link w:val="17"/>
    <w:qFormat/>
    <w:uiPriority w:val="0"/>
    <w:rPr>
      <w:kern w:val="2"/>
      <w:sz w:val="18"/>
      <w:szCs w:val="18"/>
      <w:lang w:val="zh-CN" w:eastAsia="zh-CN"/>
    </w:rPr>
  </w:style>
  <w:style w:type="character" w:customStyle="1" w:styleId="44">
    <w:name w:val="页眉 Char"/>
    <w:basedOn w:val="25"/>
    <w:link w:val="18"/>
    <w:qFormat/>
    <w:uiPriority w:val="0"/>
    <w:rPr>
      <w:kern w:val="2"/>
      <w:sz w:val="18"/>
      <w:szCs w:val="18"/>
      <w:lang w:val="zh-CN" w:eastAsia="zh-CN"/>
    </w:rPr>
  </w:style>
  <w:style w:type="paragraph" w:customStyle="1" w:styleId="45">
    <w:name w:val="_Style 36"/>
    <w:basedOn w:val="14"/>
    <w:next w:val="22"/>
    <w:link w:val="75"/>
    <w:unhideWhenUsed/>
    <w:qFormat/>
    <w:uiPriority w:val="99"/>
    <w:pPr>
      <w:adjustRightInd w:val="0"/>
      <w:spacing w:line="360" w:lineRule="atLeast"/>
      <w:ind w:firstLine="420" w:firstLineChars="200"/>
      <w:textAlignment w:val="baseline"/>
    </w:pPr>
  </w:style>
  <w:style w:type="character" w:customStyle="1" w:styleId="46">
    <w:name w:val="正文（首行缩进2字符） Char"/>
    <w:link w:val="47"/>
    <w:qFormat/>
    <w:uiPriority w:val="0"/>
    <w:rPr>
      <w:kern w:val="2"/>
      <w:sz w:val="24"/>
      <w:szCs w:val="24"/>
    </w:rPr>
  </w:style>
  <w:style w:type="paragraph" w:customStyle="1" w:styleId="47">
    <w:name w:val="正文（首行缩进2字符）"/>
    <w:basedOn w:val="1"/>
    <w:link w:val="46"/>
    <w:qFormat/>
    <w:uiPriority w:val="0"/>
    <w:pPr>
      <w:spacing w:line="360" w:lineRule="auto"/>
      <w:ind w:firstLine="480" w:firstLineChars="200"/>
    </w:pPr>
    <w:rPr>
      <w:rFonts w:ascii="Times New Roman" w:hAnsi="Times New Roman" w:eastAsia="宋体" w:cs="Times New Roman"/>
      <w:sz w:val="24"/>
    </w:rPr>
  </w:style>
  <w:style w:type="character" w:customStyle="1" w:styleId="48">
    <w:name w:val="段落 Char1"/>
    <w:link w:val="49"/>
    <w:qFormat/>
    <w:uiPriority w:val="0"/>
    <w:rPr>
      <w:rFonts w:eastAsia="仿宋_GB2312"/>
      <w:sz w:val="24"/>
      <w:szCs w:val="24"/>
    </w:rPr>
  </w:style>
  <w:style w:type="paragraph" w:customStyle="1" w:styleId="49">
    <w:name w:val="段落"/>
    <w:link w:val="48"/>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sz w:val="24"/>
      <w:szCs w:val="24"/>
      <w:lang w:val="en-US" w:eastAsia="zh-CN" w:bidi="ar-SA"/>
    </w:rPr>
  </w:style>
  <w:style w:type="character" w:customStyle="1" w:styleId="50">
    <w:name w:val="正文（安华金和） Char"/>
    <w:link w:val="51"/>
    <w:qFormat/>
    <w:uiPriority w:val="0"/>
    <w:rPr>
      <w:rFonts w:ascii="Arial" w:hAnsi="Arial"/>
      <w:sz w:val="21"/>
      <w:szCs w:val="21"/>
    </w:rPr>
  </w:style>
  <w:style w:type="paragraph" w:customStyle="1" w:styleId="51">
    <w:name w:val="正文（安华金和）"/>
    <w:link w:val="50"/>
    <w:qFormat/>
    <w:uiPriority w:val="0"/>
    <w:pPr>
      <w:widowControl w:val="0"/>
      <w:spacing w:line="360" w:lineRule="auto"/>
      <w:ind w:firstLine="200"/>
    </w:pPr>
    <w:rPr>
      <w:rFonts w:ascii="Arial" w:hAnsi="Arial" w:eastAsia="宋体" w:cs="Times New Roman"/>
      <w:sz w:val="21"/>
      <w:szCs w:val="21"/>
      <w:lang w:val="en-US" w:eastAsia="zh-CN" w:bidi="ar-SA"/>
    </w:rPr>
  </w:style>
  <w:style w:type="character" w:customStyle="1" w:styleId="52">
    <w:name w:val="页脚 字符"/>
    <w:qFormat/>
    <w:uiPriority w:val="99"/>
  </w:style>
  <w:style w:type="character" w:customStyle="1" w:styleId="53">
    <w:name w:val="列出段落 Char"/>
    <w:link w:val="54"/>
    <w:qFormat/>
    <w:uiPriority w:val="34"/>
    <w:rPr>
      <w:rFonts w:ascii="等线" w:hAnsi="等线" w:eastAsia="等线"/>
      <w:kern w:val="2"/>
      <w:sz w:val="21"/>
      <w:szCs w:val="22"/>
    </w:rPr>
  </w:style>
  <w:style w:type="paragraph" w:styleId="54">
    <w:name w:val="List Paragraph"/>
    <w:basedOn w:val="1"/>
    <w:link w:val="53"/>
    <w:qFormat/>
    <w:uiPriority w:val="34"/>
    <w:pPr>
      <w:ind w:firstLine="420" w:firstLineChars="200"/>
    </w:pPr>
    <w:rPr>
      <w:rFonts w:ascii="等线" w:hAnsi="等线" w:eastAsia="等线" w:cs="Times New Roman"/>
      <w:szCs w:val="22"/>
    </w:rPr>
  </w:style>
  <w:style w:type="paragraph" w:customStyle="1" w:styleId="55">
    <w:name w:val="插图标注（安华金和）"/>
    <w:next w:val="1"/>
    <w:qFormat/>
    <w:uiPriority w:val="0"/>
    <w:pPr>
      <w:numPr>
        <w:ilvl w:val="6"/>
        <w:numId w:val="2"/>
      </w:numPr>
      <w:spacing w:after="156"/>
      <w:jc w:val="center"/>
    </w:pPr>
    <w:rPr>
      <w:rFonts w:ascii="Arial" w:hAnsi="Arial" w:eastAsia="宋体" w:cs="Arial"/>
      <w:sz w:val="21"/>
      <w:szCs w:val="21"/>
      <w:lang w:val="en-US" w:eastAsia="zh-CN" w:bidi="ar-SA"/>
    </w:rPr>
  </w:style>
  <w:style w:type="paragraph" w:customStyle="1" w:styleId="56">
    <w:name w:val="标题 2（DBSec）"/>
    <w:basedOn w:val="3"/>
    <w:next w:val="1"/>
    <w:qFormat/>
    <w:uiPriority w:val="0"/>
    <w:pPr>
      <w:numPr>
        <w:ilvl w:val="1"/>
        <w:numId w:val="2"/>
      </w:numPr>
      <w:spacing w:line="415" w:lineRule="auto"/>
      <w:jc w:val="left"/>
    </w:pPr>
    <w:rPr>
      <w:rFonts w:ascii="Arial" w:hAnsi="Arial" w:eastAsia="黑体"/>
      <w:bCs w:val="0"/>
      <w:sz w:val="28"/>
    </w:rPr>
  </w:style>
  <w:style w:type="paragraph" w:customStyle="1" w:styleId="57">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58">
    <w:name w:val="_Style 27"/>
    <w:basedOn w:val="1"/>
    <w:next w:val="54"/>
    <w:qFormat/>
    <w:uiPriority w:val="34"/>
    <w:pPr>
      <w:widowControl/>
      <w:spacing w:line="240" w:lineRule="atLeast"/>
      <w:ind w:firstLine="420" w:firstLineChars="200"/>
    </w:pPr>
    <w:rPr>
      <w:rFonts w:ascii="Arial" w:hAnsi="Arial" w:eastAsia="宋体" w:cs="Times New Roman"/>
      <w:kern w:val="0"/>
      <w:szCs w:val="21"/>
    </w:rPr>
  </w:style>
  <w:style w:type="paragraph" w:customStyle="1" w:styleId="59">
    <w:name w:val="列出段落2"/>
    <w:basedOn w:val="1"/>
    <w:qFormat/>
    <w:uiPriority w:val="99"/>
    <w:pPr>
      <w:widowControl/>
      <w:spacing w:line="240" w:lineRule="atLeast"/>
      <w:ind w:firstLine="420" w:firstLineChars="200"/>
    </w:pPr>
    <w:rPr>
      <w:rFonts w:ascii="Arial" w:hAnsi="Arial" w:eastAsia="宋体" w:cs="Times New Roman"/>
      <w:kern w:val="0"/>
      <w:szCs w:val="21"/>
    </w:rPr>
  </w:style>
  <w:style w:type="paragraph" w:customStyle="1" w:styleId="60">
    <w:name w:val="标题 6（有编号）（安华金和）"/>
    <w:basedOn w:val="1"/>
    <w:next w:val="1"/>
    <w:qFormat/>
    <w:uiPriority w:val="0"/>
    <w:pPr>
      <w:keepNext/>
      <w:keepLines/>
      <w:numPr>
        <w:ilvl w:val="5"/>
        <w:numId w:val="2"/>
      </w:numPr>
      <w:spacing w:before="240" w:after="64" w:line="319" w:lineRule="auto"/>
      <w:ind w:left="0"/>
      <w:jc w:val="left"/>
      <w:outlineLvl w:val="5"/>
    </w:pPr>
    <w:rPr>
      <w:rFonts w:ascii="Arial" w:hAnsi="Arial" w:eastAsia="黑体" w:cs="Times New Roman"/>
      <w:b/>
      <w:kern w:val="0"/>
    </w:rPr>
  </w:style>
  <w:style w:type="paragraph" w:customStyle="1" w:styleId="61">
    <w:name w:val="标题 4（DBSec）"/>
    <w:basedOn w:val="5"/>
    <w:next w:val="1"/>
    <w:qFormat/>
    <w:uiPriority w:val="0"/>
    <w:pPr>
      <w:widowControl/>
      <w:numPr>
        <w:numId w:val="2"/>
      </w:numPr>
      <w:spacing w:after="156"/>
      <w:ind w:left="200" w:leftChars="200"/>
      <w:jc w:val="left"/>
    </w:pPr>
    <w:rPr>
      <w:rFonts w:ascii="Arial" w:hAnsi="Arial" w:eastAsia="黑体"/>
      <w:bCs w:val="0"/>
      <w:kern w:val="0"/>
    </w:rPr>
  </w:style>
  <w:style w:type="paragraph" w:customStyle="1" w:styleId="62">
    <w:name w:val="标题 3（DBSec）"/>
    <w:basedOn w:val="4"/>
    <w:next w:val="1"/>
    <w:qFormat/>
    <w:uiPriority w:val="0"/>
    <w:pPr>
      <w:numPr>
        <w:ilvl w:val="2"/>
        <w:numId w:val="2"/>
      </w:numPr>
      <w:tabs>
        <w:tab w:val="left" w:pos="960"/>
      </w:tabs>
      <w:spacing w:line="415" w:lineRule="auto"/>
      <w:ind w:left="200" w:leftChars="200"/>
      <w:jc w:val="left"/>
    </w:pPr>
    <w:rPr>
      <w:rFonts w:ascii="Arial" w:hAnsi="Arial" w:eastAsia="黑体"/>
      <w:bCs w:val="0"/>
      <w:kern w:val="0"/>
    </w:rPr>
  </w:style>
  <w:style w:type="paragraph" w:customStyle="1" w:styleId="63">
    <w:name w:val="标题 1（DBSec）"/>
    <w:basedOn w:val="2"/>
    <w:next w:val="1"/>
    <w:qFormat/>
    <w:uiPriority w:val="0"/>
    <w:pPr>
      <w:pageBreakBefore/>
      <w:numPr>
        <w:numId w:val="2"/>
      </w:numPr>
      <w:pBdr>
        <w:bottom w:val="single" w:color="auto" w:sz="48" w:space="1"/>
      </w:pBdr>
      <w:spacing w:before="600" w:line="576" w:lineRule="auto"/>
      <w:ind w:left="200" w:leftChars="200"/>
      <w:jc w:val="left"/>
    </w:pPr>
    <w:rPr>
      <w:rFonts w:ascii="Arial" w:hAnsi="Arial" w:eastAsia="黑体"/>
      <w:lang w:val="en-US"/>
    </w:rPr>
  </w:style>
  <w:style w:type="paragraph" w:customStyle="1" w:styleId="64">
    <w:name w:val="彩色列表 - 着色 11"/>
    <w:basedOn w:val="1"/>
    <w:qFormat/>
    <w:uiPriority w:val="34"/>
    <w:pPr>
      <w:spacing w:line="360" w:lineRule="auto"/>
      <w:ind w:firstLine="420" w:firstLineChars="200"/>
    </w:pPr>
    <w:rPr>
      <w:rFonts w:ascii="Arial" w:hAnsi="Arial" w:eastAsia="宋体" w:cs="Times New Roman"/>
      <w:szCs w:val="21"/>
    </w:rPr>
  </w:style>
  <w:style w:type="paragraph" w:customStyle="1" w:styleId="65">
    <w:name w:val="表格标注（安华金和）"/>
    <w:basedOn w:val="55"/>
    <w:next w:val="1"/>
    <w:qFormat/>
    <w:uiPriority w:val="0"/>
    <w:pPr>
      <w:numPr>
        <w:ilvl w:val="7"/>
      </w:numPr>
    </w:pPr>
  </w:style>
  <w:style w:type="paragraph" w:customStyle="1" w:styleId="66">
    <w:name w:val="标题 5（有编号）（安华金和）"/>
    <w:basedOn w:val="1"/>
    <w:next w:val="1"/>
    <w:qFormat/>
    <w:uiPriority w:val="0"/>
    <w:pPr>
      <w:keepNext/>
      <w:keepLines/>
      <w:numPr>
        <w:ilvl w:val="4"/>
        <w:numId w:val="2"/>
      </w:numPr>
      <w:spacing w:before="280" w:after="156" w:line="377" w:lineRule="auto"/>
      <w:ind w:left="0"/>
      <w:jc w:val="left"/>
      <w:outlineLvl w:val="4"/>
    </w:pPr>
    <w:rPr>
      <w:rFonts w:ascii="Arial" w:hAnsi="Arial" w:eastAsia="黑体" w:cs="Times New Roman"/>
      <w:b/>
      <w:kern w:val="0"/>
      <w:sz w:val="24"/>
      <w:szCs w:val="28"/>
    </w:rPr>
  </w:style>
  <w:style w:type="paragraph" w:customStyle="1" w:styleId="67">
    <w:name w:val="List Paragraph11"/>
    <w:basedOn w:val="1"/>
    <w:next w:val="1"/>
    <w:qFormat/>
    <w:uiPriority w:val="34"/>
    <w:pPr>
      <w:spacing w:line="360" w:lineRule="auto"/>
      <w:ind w:firstLine="420" w:firstLineChars="200"/>
    </w:pPr>
    <w:rPr>
      <w:rFonts w:ascii="Verdana" w:hAnsi="Verdana" w:eastAsia="宋体" w:cs="Times New Roman"/>
      <w:color w:val="000000"/>
      <w:sz w:val="20"/>
      <w:szCs w:val="20"/>
    </w:rPr>
  </w:style>
  <w:style w:type="character" w:customStyle="1" w:styleId="68">
    <w:name w:val="批注文字 字符"/>
    <w:qFormat/>
    <w:uiPriority w:val="99"/>
    <w:rPr>
      <w:kern w:val="2"/>
      <w:sz w:val="21"/>
      <w:szCs w:val="24"/>
    </w:rPr>
  </w:style>
  <w:style w:type="character" w:customStyle="1" w:styleId="69">
    <w:name w:val="标题 1 字符"/>
    <w:qFormat/>
    <w:uiPriority w:val="0"/>
    <w:rPr>
      <w:b/>
      <w:bCs/>
      <w:kern w:val="44"/>
      <w:sz w:val="44"/>
      <w:szCs w:val="44"/>
    </w:rPr>
  </w:style>
  <w:style w:type="character" w:customStyle="1" w:styleId="70">
    <w:name w:val="列出段落 字符"/>
    <w:qFormat/>
    <w:uiPriority w:val="34"/>
    <w:rPr>
      <w:rFonts w:ascii="等线" w:hAnsi="等线" w:eastAsia="等线"/>
    </w:rPr>
  </w:style>
  <w:style w:type="paragraph" w:customStyle="1" w:styleId="71">
    <w:name w:val="Table Paragraph"/>
    <w:basedOn w:val="1"/>
    <w:qFormat/>
    <w:uiPriority w:val="1"/>
    <w:pPr>
      <w:autoSpaceDE w:val="0"/>
      <w:autoSpaceDN w:val="0"/>
      <w:jc w:val="left"/>
    </w:pPr>
    <w:rPr>
      <w:rFonts w:ascii="宋体" w:hAnsi="宋体" w:eastAsia="宋体" w:cs="宋体"/>
      <w:kern w:val="0"/>
      <w:sz w:val="22"/>
      <w:szCs w:val="22"/>
    </w:rPr>
  </w:style>
  <w:style w:type="paragraph" w:customStyle="1" w:styleId="72">
    <w:name w:val="列出段落1"/>
    <w:basedOn w:val="1"/>
    <w:qFormat/>
    <w:uiPriority w:val="34"/>
    <w:pPr>
      <w:ind w:firstLine="420" w:firstLineChars="200"/>
    </w:pPr>
    <w:rPr>
      <w:rFonts w:ascii="等线" w:hAnsi="等线" w:eastAsia="等线" w:cs="Times New Roman"/>
      <w:szCs w:val="22"/>
    </w:rPr>
  </w:style>
  <w:style w:type="character" w:customStyle="1" w:styleId="73">
    <w:name w:val="正文文本缩进 Char"/>
    <w:basedOn w:val="25"/>
    <w:semiHidden/>
    <w:qFormat/>
    <w:uiPriority w:val="99"/>
    <w:rPr>
      <w:rFonts w:asciiTheme="minorHAnsi" w:hAnsiTheme="minorHAnsi" w:eastAsiaTheme="minorEastAsia" w:cstheme="minorBidi"/>
      <w:kern w:val="2"/>
      <w:sz w:val="21"/>
      <w:szCs w:val="24"/>
    </w:rPr>
  </w:style>
  <w:style w:type="character" w:customStyle="1" w:styleId="74">
    <w:name w:val="正文文本缩进 Char1"/>
    <w:link w:val="14"/>
    <w:qFormat/>
    <w:uiPriority w:val="0"/>
    <w:rPr>
      <w:kern w:val="2"/>
      <w:sz w:val="21"/>
      <w:szCs w:val="24"/>
    </w:rPr>
  </w:style>
  <w:style w:type="character" w:customStyle="1" w:styleId="75">
    <w:name w:val="正文文本首行缩进 2 字符"/>
    <w:basedOn w:val="74"/>
    <w:link w:val="45"/>
    <w:qFormat/>
    <w:uiPriority w:val="99"/>
    <w:rPr>
      <w:kern w:val="2"/>
      <w:sz w:val="21"/>
      <w:szCs w:val="24"/>
    </w:rPr>
  </w:style>
  <w:style w:type="paragraph" w:customStyle="1" w:styleId="76">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77">
    <w:name w:val="批注主题 Char"/>
    <w:basedOn w:val="41"/>
    <w:semiHidden/>
    <w:qFormat/>
    <w:uiPriority w:val="99"/>
    <w:rPr>
      <w:b/>
      <w:bCs/>
      <w:szCs w:val="24"/>
      <w:lang w:val="zh-CN" w:eastAsia="zh-CN"/>
    </w:rPr>
  </w:style>
  <w:style w:type="character" w:customStyle="1" w:styleId="78">
    <w:name w:val="批注主题 Char1"/>
    <w:link w:val="21"/>
    <w:qFormat/>
    <w:uiPriority w:val="0"/>
    <w:rPr>
      <w:b/>
      <w:bCs/>
      <w:kern w:val="2"/>
      <w:sz w:val="21"/>
      <w:szCs w:val="24"/>
    </w:rPr>
  </w:style>
  <w:style w:type="character" w:customStyle="1" w:styleId="79">
    <w:name w:val="正文首行缩进 2 Char"/>
    <w:basedOn w:val="74"/>
    <w:link w:val="22"/>
    <w:semiHidden/>
    <w:qFormat/>
    <w:uiPriority w:val="99"/>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1201</Words>
  <Characters>1255</Characters>
  <Lines>196</Lines>
  <Paragraphs>55</Paragraphs>
  <TotalTime>0</TotalTime>
  <ScaleCrop>false</ScaleCrop>
  <LinksUpToDate>false</LinksUpToDate>
  <CharactersWithSpaces>1266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2025-05-21T00:28:00Z</dcterms:created>
  <dc:creator>xb21cn</dc:creator>
  <cp:lastModifiedBy>代理机构</cp:lastModifiedBy>
  <dcterms:modified xsi:type="dcterms:W3CDTF">2025-05-29T10:31:05Z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eyJoZGlkIjoiMzEwNTM5NzYwMDRjMzkwZTVkZjY2ODkwMGIxNGU0OTUiLCJ1c2VySWQiOiIxMDAxNTczMDI1In0=</vt:lpwstr>
  </property>
  <property fmtid="{D5CDD505-2E9C-101B-9397-08002B2CF9AE}" pid="3" name="KSOProductBuildVer">
    <vt:lpwstr>2052-12.1.0.21171</vt:lpwstr>
  </property>
  <property fmtid="{D5CDD505-2E9C-101B-9397-08002B2CF9AE}" pid="4" name="ICV">
    <vt:lpwstr>C93AABBABB4C4B5FA4E507A4B4E73A00_13</vt:lpwstr>
  </property>
</Properties>
</file>